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7F172" w14:textId="77777777" w:rsidR="002F6F09" w:rsidRPr="00BC3053" w:rsidRDefault="002F6F09" w:rsidP="006D4418">
      <w:pPr>
        <w:spacing w:after="0" w:line="240" w:lineRule="auto"/>
        <w:jc w:val="both"/>
        <w:rPr>
          <w:rFonts w:ascii="Century Gothic" w:hAnsi="Century Gothic"/>
          <w:sz w:val="24"/>
          <w:szCs w:val="24"/>
          <w:lang w:val="es-PR"/>
        </w:rPr>
      </w:pPr>
    </w:p>
    <w:p w14:paraId="62F653CA" w14:textId="77777777" w:rsidR="002F6F09" w:rsidRPr="00BC3053" w:rsidRDefault="002F6F09" w:rsidP="006D4418">
      <w:pPr>
        <w:spacing w:after="0" w:line="240" w:lineRule="auto"/>
        <w:jc w:val="both"/>
        <w:rPr>
          <w:rFonts w:ascii="Century Gothic" w:hAnsi="Century Gothic"/>
          <w:sz w:val="24"/>
          <w:szCs w:val="24"/>
          <w:lang w:val="es-PR"/>
        </w:rPr>
      </w:pPr>
    </w:p>
    <w:p w14:paraId="1EF96120" w14:textId="77777777" w:rsidR="002F6F09" w:rsidRPr="00BC3053" w:rsidRDefault="002F6F09" w:rsidP="006D4418">
      <w:pPr>
        <w:spacing w:after="0" w:line="240" w:lineRule="auto"/>
        <w:jc w:val="both"/>
        <w:rPr>
          <w:rFonts w:ascii="Century Gothic" w:hAnsi="Century Gothic"/>
          <w:sz w:val="24"/>
          <w:szCs w:val="24"/>
          <w:lang w:val="es-PR"/>
        </w:rPr>
      </w:pPr>
    </w:p>
    <w:p w14:paraId="600FBBF3" w14:textId="77777777" w:rsidR="002F6F09" w:rsidRPr="00BC3053" w:rsidRDefault="002F6F09" w:rsidP="006D4418">
      <w:pPr>
        <w:spacing w:after="0" w:line="240" w:lineRule="auto"/>
        <w:jc w:val="both"/>
        <w:rPr>
          <w:rFonts w:ascii="Century Gothic" w:hAnsi="Century Gothic"/>
          <w:sz w:val="24"/>
          <w:szCs w:val="24"/>
          <w:lang w:val="es-PR"/>
        </w:rPr>
      </w:pPr>
    </w:p>
    <w:p w14:paraId="56AA4360" w14:textId="77777777" w:rsidR="002F6F09" w:rsidRPr="00BC3053" w:rsidRDefault="002F6F09" w:rsidP="006D4418">
      <w:pPr>
        <w:spacing w:after="0" w:line="240" w:lineRule="auto"/>
        <w:jc w:val="both"/>
        <w:rPr>
          <w:rFonts w:ascii="Century Gothic" w:hAnsi="Century Gothic"/>
          <w:sz w:val="24"/>
          <w:szCs w:val="24"/>
          <w:lang w:val="es-PR"/>
        </w:rPr>
      </w:pPr>
    </w:p>
    <w:p w14:paraId="4A492349" w14:textId="1510DAB8" w:rsidR="00551CDF" w:rsidRPr="00BC3053" w:rsidRDefault="00060B2D" w:rsidP="006D4418">
      <w:pPr>
        <w:spacing w:after="0" w:line="240" w:lineRule="auto"/>
        <w:jc w:val="both"/>
        <w:rPr>
          <w:rFonts w:ascii="Century Gothic" w:hAnsi="Century Gothic"/>
          <w:sz w:val="24"/>
          <w:szCs w:val="24"/>
          <w:lang w:val="es-PR"/>
        </w:rPr>
      </w:pPr>
      <w:r w:rsidRPr="00BC3053">
        <w:rPr>
          <w:rFonts w:ascii="Century Gothic" w:hAnsi="Century Gothic"/>
          <w:sz w:val="24"/>
          <w:szCs w:val="24"/>
          <w:lang w:val="es-PR"/>
        </w:rPr>
        <w:t xml:space="preserve">30 </w:t>
      </w:r>
      <w:r w:rsidR="00551CDF" w:rsidRPr="00BC3053">
        <w:rPr>
          <w:rFonts w:ascii="Century Gothic" w:hAnsi="Century Gothic"/>
          <w:sz w:val="24"/>
          <w:szCs w:val="24"/>
          <w:lang w:val="es-PR"/>
        </w:rPr>
        <w:t>de marzo de 2023</w:t>
      </w:r>
    </w:p>
    <w:p w14:paraId="10EBAF20" w14:textId="77777777" w:rsidR="00D1556B" w:rsidRPr="00BC3053" w:rsidRDefault="00D1556B" w:rsidP="006D4418">
      <w:pPr>
        <w:spacing w:after="0" w:line="240" w:lineRule="auto"/>
        <w:jc w:val="both"/>
        <w:rPr>
          <w:rFonts w:ascii="Century Gothic" w:hAnsi="Century Gothic"/>
          <w:sz w:val="24"/>
          <w:szCs w:val="24"/>
          <w:lang w:val="es-PR"/>
        </w:rPr>
      </w:pPr>
    </w:p>
    <w:p w14:paraId="3CAA2129" w14:textId="1DFCDEDE" w:rsidR="00D1556B" w:rsidRPr="00BC3053" w:rsidRDefault="00D1556B" w:rsidP="006D4418">
      <w:pPr>
        <w:spacing w:after="0" w:line="240" w:lineRule="auto"/>
        <w:jc w:val="both"/>
        <w:rPr>
          <w:rFonts w:ascii="Century Gothic" w:hAnsi="Century Gothic"/>
          <w:i/>
          <w:sz w:val="24"/>
          <w:szCs w:val="24"/>
          <w:lang w:val="es-PR"/>
        </w:rPr>
      </w:pPr>
      <w:r w:rsidRPr="00BC3053">
        <w:rPr>
          <w:rFonts w:ascii="Century Gothic" w:hAnsi="Century Gothic"/>
          <w:i/>
          <w:sz w:val="24"/>
          <w:szCs w:val="24"/>
          <w:lang w:val="es-PR"/>
        </w:rPr>
        <w:t>Entrega a la mano y vía correo electrónico</w:t>
      </w:r>
    </w:p>
    <w:p w14:paraId="6C73FBC5" w14:textId="77777777" w:rsidR="00551CDF" w:rsidRPr="00BC3053" w:rsidRDefault="00551CDF" w:rsidP="006D4418">
      <w:pPr>
        <w:spacing w:after="0" w:line="240" w:lineRule="auto"/>
        <w:jc w:val="both"/>
        <w:rPr>
          <w:rFonts w:ascii="Century Gothic" w:hAnsi="Century Gothic"/>
          <w:sz w:val="24"/>
          <w:szCs w:val="24"/>
          <w:lang w:val="es-PR"/>
        </w:rPr>
      </w:pPr>
    </w:p>
    <w:p w14:paraId="6989271F" w14:textId="72DB91C4" w:rsidR="00551CDF" w:rsidRPr="00BC3053" w:rsidRDefault="00111553" w:rsidP="006D4418">
      <w:pPr>
        <w:spacing w:after="0" w:line="240" w:lineRule="auto"/>
        <w:jc w:val="both"/>
        <w:rPr>
          <w:rFonts w:ascii="Century Gothic" w:hAnsi="Century Gothic"/>
          <w:sz w:val="24"/>
          <w:szCs w:val="24"/>
          <w:lang w:val="es-PR"/>
        </w:rPr>
      </w:pPr>
      <w:r w:rsidRPr="00BC3053">
        <w:rPr>
          <w:rFonts w:ascii="Century Gothic" w:hAnsi="Century Gothic"/>
          <w:sz w:val="24"/>
          <w:szCs w:val="24"/>
          <w:lang w:val="es-PR"/>
        </w:rPr>
        <w:t xml:space="preserve">Lcdo. Domingo </w:t>
      </w:r>
      <w:proofErr w:type="spellStart"/>
      <w:r w:rsidRPr="00BC3053">
        <w:rPr>
          <w:rFonts w:ascii="Century Gothic" w:hAnsi="Century Gothic"/>
          <w:sz w:val="24"/>
          <w:szCs w:val="24"/>
          <w:lang w:val="es-PR"/>
        </w:rPr>
        <w:t>Emanuelli</w:t>
      </w:r>
      <w:proofErr w:type="spellEnd"/>
      <w:r w:rsidRPr="00BC3053">
        <w:rPr>
          <w:rFonts w:ascii="Century Gothic" w:hAnsi="Century Gothic"/>
          <w:sz w:val="24"/>
          <w:szCs w:val="24"/>
          <w:lang w:val="es-PR"/>
        </w:rPr>
        <w:t xml:space="preserve"> Hernández</w:t>
      </w:r>
    </w:p>
    <w:p w14:paraId="3F448F32" w14:textId="77777777" w:rsidR="00111553" w:rsidRPr="00BC3053" w:rsidRDefault="00111553" w:rsidP="006D4418">
      <w:pPr>
        <w:spacing w:after="0" w:line="240" w:lineRule="auto"/>
        <w:jc w:val="both"/>
        <w:rPr>
          <w:rFonts w:ascii="Century Gothic" w:hAnsi="Century Gothic"/>
          <w:sz w:val="24"/>
          <w:szCs w:val="24"/>
          <w:lang w:val="es-PR"/>
        </w:rPr>
      </w:pPr>
      <w:r w:rsidRPr="00BC3053">
        <w:rPr>
          <w:rFonts w:ascii="Century Gothic" w:hAnsi="Century Gothic"/>
          <w:sz w:val="24"/>
          <w:szCs w:val="24"/>
          <w:lang w:val="es-PR"/>
        </w:rPr>
        <w:t>Secretario</w:t>
      </w:r>
    </w:p>
    <w:p w14:paraId="44364310" w14:textId="45D853B5" w:rsidR="00111553" w:rsidRPr="00BC3053" w:rsidRDefault="00111553" w:rsidP="006D4418">
      <w:pPr>
        <w:spacing w:after="0" w:line="240" w:lineRule="auto"/>
        <w:jc w:val="both"/>
        <w:rPr>
          <w:rFonts w:ascii="Century Gothic" w:hAnsi="Century Gothic"/>
          <w:sz w:val="24"/>
          <w:szCs w:val="24"/>
          <w:lang w:val="es-PR"/>
        </w:rPr>
      </w:pPr>
      <w:r w:rsidRPr="00BC3053">
        <w:rPr>
          <w:rFonts w:ascii="Century Gothic" w:hAnsi="Century Gothic"/>
          <w:sz w:val="24"/>
          <w:szCs w:val="24"/>
          <w:lang w:val="es-PR"/>
        </w:rPr>
        <w:t>Departamento de Justicia</w:t>
      </w:r>
    </w:p>
    <w:p w14:paraId="17101761" w14:textId="77777777" w:rsidR="00111553" w:rsidRPr="00BC3053" w:rsidRDefault="00111553" w:rsidP="0036245A">
      <w:pPr>
        <w:spacing w:line="240" w:lineRule="auto"/>
        <w:jc w:val="both"/>
        <w:rPr>
          <w:rFonts w:ascii="Century Gothic" w:hAnsi="Century Gothic"/>
          <w:sz w:val="24"/>
          <w:szCs w:val="24"/>
          <w:lang w:val="es-PR"/>
        </w:rPr>
      </w:pPr>
    </w:p>
    <w:p w14:paraId="08FEA519" w14:textId="2B08E0C4" w:rsidR="00D1556B" w:rsidRPr="00BC3053" w:rsidRDefault="005A0724" w:rsidP="0036245A">
      <w:pPr>
        <w:jc w:val="both"/>
        <w:rPr>
          <w:rFonts w:ascii="Century Gothic" w:hAnsi="Century Gothic"/>
          <w:b/>
          <w:bCs/>
          <w:sz w:val="24"/>
          <w:szCs w:val="24"/>
          <w:lang w:val="es-PR"/>
        </w:rPr>
      </w:pPr>
      <w:r w:rsidRPr="00BC3053">
        <w:rPr>
          <w:rFonts w:ascii="Century Gothic" w:hAnsi="Century Gothic"/>
          <w:b/>
          <w:bCs/>
          <w:sz w:val="24"/>
          <w:szCs w:val="24"/>
          <w:lang w:val="es-PR"/>
        </w:rPr>
        <w:t xml:space="preserve">RE: Referido sobre </w:t>
      </w:r>
      <w:r w:rsidR="00111553" w:rsidRPr="00BC3053">
        <w:rPr>
          <w:rFonts w:ascii="Century Gothic" w:hAnsi="Century Gothic"/>
          <w:b/>
          <w:bCs/>
          <w:sz w:val="24"/>
          <w:szCs w:val="24"/>
          <w:lang w:val="es-PR"/>
        </w:rPr>
        <w:t>conducta</w:t>
      </w:r>
      <w:r w:rsidRPr="00BC3053">
        <w:rPr>
          <w:rFonts w:ascii="Century Gothic" w:hAnsi="Century Gothic"/>
          <w:b/>
          <w:bCs/>
          <w:sz w:val="24"/>
          <w:szCs w:val="24"/>
          <w:lang w:val="es-PR"/>
        </w:rPr>
        <w:t>s</w:t>
      </w:r>
      <w:r w:rsidR="00111553" w:rsidRPr="00BC3053">
        <w:rPr>
          <w:rFonts w:ascii="Century Gothic" w:hAnsi="Century Gothic"/>
          <w:b/>
          <w:bCs/>
          <w:sz w:val="24"/>
          <w:szCs w:val="24"/>
          <w:lang w:val="es-PR"/>
        </w:rPr>
        <w:t xml:space="preserve"> ilegal</w:t>
      </w:r>
      <w:r w:rsidRPr="00BC3053">
        <w:rPr>
          <w:rFonts w:ascii="Century Gothic" w:hAnsi="Century Gothic"/>
          <w:b/>
          <w:bCs/>
          <w:sz w:val="24"/>
          <w:szCs w:val="24"/>
          <w:lang w:val="es-PR"/>
        </w:rPr>
        <w:t xml:space="preserve">es y </w:t>
      </w:r>
      <w:r w:rsidR="0061117B" w:rsidRPr="00BC3053">
        <w:rPr>
          <w:rFonts w:ascii="Century Gothic" w:hAnsi="Century Gothic"/>
          <w:b/>
          <w:bCs/>
          <w:sz w:val="24"/>
          <w:szCs w:val="24"/>
          <w:lang w:val="es-PR"/>
        </w:rPr>
        <w:t>antiética</w:t>
      </w:r>
      <w:r w:rsidRPr="00BC3053">
        <w:rPr>
          <w:rFonts w:ascii="Century Gothic" w:hAnsi="Century Gothic"/>
          <w:b/>
          <w:bCs/>
          <w:sz w:val="24"/>
          <w:szCs w:val="24"/>
          <w:lang w:val="es-PR"/>
        </w:rPr>
        <w:t>s</w:t>
      </w:r>
      <w:r w:rsidR="0061117B" w:rsidRPr="00BC3053">
        <w:rPr>
          <w:rFonts w:ascii="Century Gothic" w:hAnsi="Century Gothic"/>
          <w:b/>
          <w:bCs/>
          <w:sz w:val="24"/>
          <w:szCs w:val="24"/>
          <w:lang w:val="es-PR"/>
        </w:rPr>
        <w:t xml:space="preserve"> </w:t>
      </w:r>
      <w:r w:rsidR="00D1556B" w:rsidRPr="00BC3053">
        <w:rPr>
          <w:rFonts w:ascii="Century Gothic" w:hAnsi="Century Gothic"/>
          <w:b/>
          <w:bCs/>
          <w:sz w:val="24"/>
          <w:szCs w:val="24"/>
          <w:lang w:val="es-PR"/>
        </w:rPr>
        <w:t>vi</w:t>
      </w:r>
      <w:r w:rsidRPr="00BC3053">
        <w:rPr>
          <w:rFonts w:ascii="Century Gothic" w:hAnsi="Century Gothic"/>
          <w:b/>
          <w:bCs/>
          <w:sz w:val="24"/>
          <w:szCs w:val="24"/>
          <w:lang w:val="es-PR"/>
        </w:rPr>
        <w:t xml:space="preserve">nculadas a la privatización de los procedimientos </w:t>
      </w:r>
      <w:r w:rsidR="0061117B" w:rsidRPr="00BC3053">
        <w:rPr>
          <w:rFonts w:ascii="Century Gothic" w:hAnsi="Century Gothic"/>
          <w:b/>
          <w:bCs/>
          <w:sz w:val="24"/>
          <w:szCs w:val="24"/>
          <w:lang w:val="es-PR"/>
        </w:rPr>
        <w:t>de declaración de estorbos públicos y ejercicio del poder de expro</w:t>
      </w:r>
      <w:r w:rsidR="00060B2D" w:rsidRPr="00BC3053">
        <w:rPr>
          <w:rFonts w:ascii="Century Gothic" w:hAnsi="Century Gothic"/>
          <w:b/>
          <w:bCs/>
          <w:sz w:val="24"/>
          <w:szCs w:val="24"/>
          <w:lang w:val="es-PR"/>
        </w:rPr>
        <w:t>piación forzosa por parte de</w:t>
      </w:r>
      <w:r w:rsidR="0061117B" w:rsidRPr="00BC3053">
        <w:rPr>
          <w:rFonts w:ascii="Century Gothic" w:hAnsi="Century Gothic"/>
          <w:b/>
          <w:bCs/>
          <w:sz w:val="24"/>
          <w:szCs w:val="24"/>
          <w:lang w:val="es-PR"/>
        </w:rPr>
        <w:t xml:space="preserve"> Municipio</w:t>
      </w:r>
      <w:r w:rsidR="00060B2D" w:rsidRPr="00BC3053">
        <w:rPr>
          <w:rFonts w:ascii="Century Gothic" w:hAnsi="Century Gothic"/>
          <w:b/>
          <w:bCs/>
          <w:sz w:val="24"/>
          <w:szCs w:val="24"/>
          <w:lang w:val="es-PR"/>
        </w:rPr>
        <w:t>s y entidades privadas</w:t>
      </w:r>
      <w:r w:rsidR="0061117B" w:rsidRPr="00BC3053">
        <w:rPr>
          <w:rFonts w:ascii="Century Gothic" w:hAnsi="Century Gothic"/>
          <w:b/>
          <w:bCs/>
          <w:sz w:val="24"/>
          <w:szCs w:val="24"/>
          <w:lang w:val="es-PR"/>
        </w:rPr>
        <w:t xml:space="preserve"> al amparo de la Ley Número 107-2020, conocida como Código Municipal</w:t>
      </w:r>
    </w:p>
    <w:p w14:paraId="0FD900BA" w14:textId="4CAF18D9" w:rsidR="00060B2D" w:rsidRPr="00BC3053" w:rsidRDefault="00060B2D" w:rsidP="0036245A">
      <w:pPr>
        <w:jc w:val="both"/>
        <w:rPr>
          <w:rFonts w:ascii="Century Gothic" w:hAnsi="Century Gothic"/>
          <w:bCs/>
          <w:sz w:val="24"/>
          <w:szCs w:val="24"/>
          <w:lang w:val="es-PR"/>
        </w:rPr>
      </w:pPr>
      <w:r w:rsidRPr="00BC3053">
        <w:rPr>
          <w:rFonts w:ascii="Century Gothic" w:hAnsi="Century Gothic"/>
          <w:bCs/>
          <w:sz w:val="24"/>
          <w:szCs w:val="24"/>
          <w:lang w:val="es-PR"/>
        </w:rPr>
        <w:t>Estimado señor Secretario:</w:t>
      </w:r>
    </w:p>
    <w:p w14:paraId="6A39F669" w14:textId="1DBA520F" w:rsidR="00060B2D" w:rsidRPr="00BC3053" w:rsidRDefault="00060B2D" w:rsidP="00680E6A">
      <w:pPr>
        <w:ind w:firstLine="720"/>
        <w:jc w:val="both"/>
        <w:rPr>
          <w:rFonts w:ascii="Century Gothic" w:hAnsi="Century Gothic"/>
          <w:bCs/>
          <w:sz w:val="24"/>
          <w:szCs w:val="24"/>
          <w:lang w:val="es-PR"/>
        </w:rPr>
      </w:pPr>
      <w:r w:rsidRPr="00BC3053">
        <w:rPr>
          <w:rFonts w:ascii="Century Gothic" w:hAnsi="Century Gothic"/>
          <w:bCs/>
          <w:sz w:val="24"/>
          <w:szCs w:val="24"/>
          <w:lang w:val="es-PR"/>
        </w:rPr>
        <w:t>Reciba nuestros saludos.  Sometemos a su consideración, con copia a diversas entidades, como la Oficina de la Contralora, La Fortaleza, la Asociación de Alcaldes, la Federación de Alcaldes</w:t>
      </w:r>
      <w:r w:rsidR="00870075" w:rsidRPr="00BC3053">
        <w:rPr>
          <w:rFonts w:ascii="Century Gothic" w:hAnsi="Century Gothic"/>
          <w:bCs/>
          <w:sz w:val="24"/>
          <w:szCs w:val="24"/>
          <w:lang w:val="es-PR"/>
        </w:rPr>
        <w:t xml:space="preserve">, la Junta </w:t>
      </w:r>
      <w:proofErr w:type="spellStart"/>
      <w:r w:rsidR="00870075" w:rsidRPr="00BC3053">
        <w:rPr>
          <w:rFonts w:ascii="Century Gothic" w:hAnsi="Century Gothic"/>
          <w:bCs/>
          <w:sz w:val="24"/>
          <w:szCs w:val="24"/>
          <w:lang w:val="es-PR"/>
        </w:rPr>
        <w:t>Reglamentadora</w:t>
      </w:r>
      <w:proofErr w:type="spellEnd"/>
      <w:r w:rsidR="00870075" w:rsidRPr="00BC3053">
        <w:rPr>
          <w:rFonts w:ascii="Century Gothic" w:hAnsi="Century Gothic"/>
          <w:bCs/>
          <w:sz w:val="24"/>
          <w:szCs w:val="24"/>
          <w:lang w:val="es-PR"/>
        </w:rPr>
        <w:t xml:space="preserve"> de Corredores, Vendedores y Empresas de Bienes Raíces</w:t>
      </w:r>
      <w:r w:rsidRPr="00BC3053">
        <w:rPr>
          <w:rFonts w:ascii="Century Gothic" w:hAnsi="Century Gothic"/>
          <w:bCs/>
          <w:sz w:val="24"/>
          <w:szCs w:val="24"/>
          <w:lang w:val="es-PR"/>
        </w:rPr>
        <w:t xml:space="preserve"> y las comisiones legislativas con jurisdicción sobre el asunto, nuestros hallazgos a partir de una investigación </w:t>
      </w:r>
      <w:r w:rsidR="00BA0688" w:rsidRPr="00BC3053">
        <w:rPr>
          <w:rFonts w:ascii="Century Gothic" w:hAnsi="Century Gothic"/>
          <w:bCs/>
          <w:sz w:val="24"/>
          <w:szCs w:val="24"/>
          <w:lang w:val="es-PR"/>
        </w:rPr>
        <w:t>preliminar sobre las serias irregularidades en los procesos privatizados de</w:t>
      </w:r>
      <w:r w:rsidR="00812EF1" w:rsidRPr="00BC3053">
        <w:rPr>
          <w:rFonts w:ascii="Century Gothic" w:hAnsi="Century Gothic"/>
          <w:bCs/>
          <w:sz w:val="24"/>
          <w:szCs w:val="24"/>
          <w:lang w:val="es-PR"/>
        </w:rPr>
        <w:t xml:space="preserve"> disposición de estorbos públicos y expro</w:t>
      </w:r>
      <w:r w:rsidR="00BA0688" w:rsidRPr="00BC3053">
        <w:rPr>
          <w:rFonts w:ascii="Century Gothic" w:hAnsi="Century Gothic"/>
          <w:bCs/>
          <w:sz w:val="24"/>
          <w:szCs w:val="24"/>
          <w:lang w:val="es-PR"/>
        </w:rPr>
        <w:t>piación forzosa a nivel municipal</w:t>
      </w:r>
      <w:r w:rsidR="00812EF1" w:rsidRPr="00BC3053">
        <w:rPr>
          <w:rStyle w:val="FootnoteReference"/>
          <w:rFonts w:ascii="Century Gothic" w:hAnsi="Century Gothic"/>
          <w:bCs/>
          <w:sz w:val="24"/>
          <w:szCs w:val="24"/>
          <w:lang w:val="es-PR"/>
        </w:rPr>
        <w:footnoteReference w:id="1"/>
      </w:r>
      <w:r w:rsidR="00812EF1" w:rsidRPr="00BC3053">
        <w:rPr>
          <w:rFonts w:ascii="Century Gothic" w:hAnsi="Century Gothic"/>
          <w:bCs/>
          <w:sz w:val="24"/>
          <w:szCs w:val="24"/>
          <w:lang w:val="es-PR"/>
        </w:rPr>
        <w:t xml:space="preserve">. </w:t>
      </w:r>
    </w:p>
    <w:p w14:paraId="3CAD651A" w14:textId="162D249C" w:rsidR="00BE6320" w:rsidRPr="00BC3053" w:rsidRDefault="00BE6320" w:rsidP="00680E6A">
      <w:pPr>
        <w:ind w:firstLine="720"/>
        <w:jc w:val="both"/>
        <w:rPr>
          <w:rFonts w:ascii="Century Gothic" w:hAnsi="Century Gothic"/>
          <w:sz w:val="24"/>
          <w:szCs w:val="24"/>
          <w:lang w:val="es-PR"/>
        </w:rPr>
      </w:pPr>
      <w:r w:rsidRPr="00BC3053">
        <w:rPr>
          <w:rFonts w:ascii="Century Gothic" w:hAnsi="Century Gothic"/>
          <w:bCs/>
          <w:sz w:val="24"/>
          <w:szCs w:val="24"/>
          <w:lang w:val="es-PR"/>
        </w:rPr>
        <w:t>Durante mucho tiempo, ha sido preocupación de las administraciones municipales el deterioro de numerosas estructuras que por su estado, pudieran constituir amenazas a la seguridad o a la salubridad.  El interés en c</w:t>
      </w:r>
      <w:r w:rsidR="005A0724" w:rsidRPr="00BC3053">
        <w:rPr>
          <w:rFonts w:ascii="Century Gothic" w:hAnsi="Century Gothic"/>
          <w:bCs/>
          <w:sz w:val="24"/>
          <w:szCs w:val="24"/>
          <w:lang w:val="es-PR"/>
        </w:rPr>
        <w:t xml:space="preserve">orregir esa situación </w:t>
      </w:r>
      <w:r w:rsidRPr="00BC3053">
        <w:rPr>
          <w:rFonts w:ascii="Century Gothic" w:hAnsi="Century Gothic"/>
          <w:bCs/>
          <w:sz w:val="24"/>
          <w:szCs w:val="24"/>
          <w:lang w:val="es-PR"/>
        </w:rPr>
        <w:t>ha animado los procesos de declaración de “estorbos públicos”</w:t>
      </w:r>
      <w:r w:rsidR="005A0724" w:rsidRPr="00BC3053">
        <w:rPr>
          <w:rFonts w:ascii="Century Gothic" w:hAnsi="Century Gothic"/>
          <w:bCs/>
          <w:sz w:val="24"/>
          <w:szCs w:val="24"/>
          <w:lang w:val="es-PR"/>
        </w:rPr>
        <w:t xml:space="preserve">, cuyo propósito debe ser la reparación y rehabilitación de estructuras y solares abandonadas. </w:t>
      </w:r>
      <w:r w:rsidRPr="00BC3053">
        <w:rPr>
          <w:rFonts w:ascii="Century Gothic" w:hAnsi="Century Gothic"/>
          <w:bCs/>
          <w:sz w:val="24"/>
          <w:szCs w:val="24"/>
          <w:lang w:val="es-PR"/>
        </w:rPr>
        <w:t>El Código Municipal define estorbo público como “</w:t>
      </w:r>
      <w:r w:rsidRPr="00BC3053">
        <w:rPr>
          <w:rFonts w:ascii="Century Gothic" w:hAnsi="Century Gothic"/>
          <w:sz w:val="24"/>
          <w:szCs w:val="24"/>
          <w:lang w:val="es-PR"/>
        </w:rPr>
        <w:t>cualquier estructura abandonada o solar abandonado, yermo o baldío que es inadecuada para ser habitada o utilizada por seres humanos, por estar en condiciones de ruina, falta de reparación, defectos de construcción, o que es perjudicial a la salud o seguridad del público. Dichas condiciones puede</w:t>
      </w:r>
      <w:r w:rsidR="005A0724" w:rsidRPr="00BC3053">
        <w:rPr>
          <w:rFonts w:ascii="Century Gothic" w:hAnsi="Century Gothic"/>
          <w:sz w:val="24"/>
          <w:szCs w:val="24"/>
          <w:lang w:val="es-PR"/>
        </w:rPr>
        <w:t xml:space="preserve">n incluir, pero sin limitarse a, </w:t>
      </w:r>
      <w:r w:rsidRPr="00BC3053">
        <w:rPr>
          <w:rFonts w:ascii="Century Gothic" w:hAnsi="Century Gothic"/>
          <w:sz w:val="24"/>
          <w:szCs w:val="24"/>
          <w:lang w:val="es-PR"/>
        </w:rPr>
        <w:t xml:space="preserve"> las siguientes: defectos en la estructura que aumentan los </w:t>
      </w:r>
      <w:r w:rsidRPr="00BC3053">
        <w:rPr>
          <w:rFonts w:ascii="Century Gothic" w:hAnsi="Century Gothic"/>
          <w:sz w:val="24"/>
          <w:szCs w:val="24"/>
          <w:lang w:val="es-PR"/>
        </w:rPr>
        <w:lastRenderedPageBreak/>
        <w:t>riesgos de incendios o accidentes; falta de adecuada ventilación o facilidades sanitarias; falta de energía eléctrica o agua potable; y falta de limpieza.”</w:t>
      </w:r>
    </w:p>
    <w:p w14:paraId="569D0B86" w14:textId="5C7CCF24" w:rsidR="003D1B8E" w:rsidRPr="00BC3053" w:rsidRDefault="0042528E" w:rsidP="00BE6320">
      <w:pPr>
        <w:jc w:val="both"/>
        <w:rPr>
          <w:rFonts w:ascii="Century Gothic" w:hAnsi="Century Gothic"/>
          <w:sz w:val="24"/>
          <w:szCs w:val="24"/>
          <w:lang w:val="es-PR"/>
        </w:rPr>
      </w:pPr>
      <w:r w:rsidRPr="00BC3053">
        <w:rPr>
          <w:rFonts w:ascii="Century Gothic" w:hAnsi="Century Gothic"/>
          <w:sz w:val="24"/>
          <w:szCs w:val="24"/>
          <w:lang w:val="es-PR"/>
        </w:rPr>
        <w:t>La declaración de estorbo púb</w:t>
      </w:r>
      <w:r w:rsidR="003D1B8E" w:rsidRPr="00BC3053">
        <w:rPr>
          <w:rFonts w:ascii="Century Gothic" w:hAnsi="Century Gothic"/>
          <w:sz w:val="24"/>
          <w:szCs w:val="24"/>
          <w:lang w:val="es-PR"/>
        </w:rPr>
        <w:t>lico persigue, en prime</w:t>
      </w:r>
      <w:r w:rsidR="00D34BEA" w:rsidRPr="00BC3053">
        <w:rPr>
          <w:rFonts w:ascii="Century Gothic" w:hAnsi="Century Gothic"/>
          <w:sz w:val="24"/>
          <w:szCs w:val="24"/>
          <w:lang w:val="es-PR"/>
        </w:rPr>
        <w:t>r lugar, según se establece en e</w:t>
      </w:r>
      <w:r w:rsidR="003D1B8E" w:rsidRPr="00BC3053">
        <w:rPr>
          <w:rFonts w:ascii="Century Gothic" w:hAnsi="Century Gothic"/>
          <w:sz w:val="24"/>
          <w:szCs w:val="24"/>
          <w:lang w:val="es-PR"/>
        </w:rPr>
        <w:t xml:space="preserve">l </w:t>
      </w:r>
      <w:r w:rsidR="00BE6320" w:rsidRPr="00BC3053">
        <w:rPr>
          <w:rFonts w:ascii="Century Gothic" w:hAnsi="Century Gothic"/>
          <w:sz w:val="24"/>
          <w:szCs w:val="24"/>
          <w:lang w:val="es-PR"/>
        </w:rPr>
        <w:t>C</w:t>
      </w:r>
      <w:r w:rsidR="003D1B8E" w:rsidRPr="00BC3053">
        <w:rPr>
          <w:rFonts w:ascii="Century Gothic" w:hAnsi="Century Gothic"/>
          <w:sz w:val="24"/>
          <w:szCs w:val="24"/>
          <w:lang w:val="es-PR"/>
        </w:rPr>
        <w:t>apítulo II del Código Municipal</w:t>
      </w:r>
      <w:r w:rsidR="00BE6320" w:rsidRPr="00BC3053">
        <w:rPr>
          <w:rFonts w:ascii="Century Gothic" w:hAnsi="Century Gothic"/>
          <w:sz w:val="24"/>
          <w:szCs w:val="24"/>
          <w:lang w:val="es-PR"/>
        </w:rPr>
        <w:t xml:space="preserve"> bajo el título de </w:t>
      </w:r>
      <w:r w:rsidR="00BE6320" w:rsidRPr="00BC3053">
        <w:rPr>
          <w:rFonts w:ascii="Century Gothic" w:hAnsi="Century Gothic"/>
          <w:i/>
          <w:sz w:val="24"/>
          <w:szCs w:val="24"/>
          <w:lang w:val="es-PR"/>
        </w:rPr>
        <w:t>Restauración de Comunidades</w:t>
      </w:r>
      <w:r w:rsidR="003D1B8E" w:rsidRPr="00BC3053">
        <w:rPr>
          <w:rFonts w:ascii="Century Gothic" w:hAnsi="Century Gothic"/>
          <w:sz w:val="24"/>
          <w:szCs w:val="24"/>
          <w:lang w:val="es-PR"/>
        </w:rPr>
        <w:t>,</w:t>
      </w:r>
      <w:r w:rsidR="00BE6320" w:rsidRPr="00BC3053">
        <w:rPr>
          <w:rFonts w:ascii="Century Gothic" w:hAnsi="Century Gothic" w:cs="BookAntiqua"/>
          <w:sz w:val="24"/>
          <w:szCs w:val="24"/>
          <w:lang w:val="es-PR"/>
        </w:rPr>
        <w:t xml:space="preserve"> “promover la restauración de comunidades y vecindarios…retener  y aumentar la pob</w:t>
      </w:r>
      <w:r w:rsidR="003D1B8E" w:rsidRPr="00BC3053">
        <w:rPr>
          <w:rFonts w:ascii="Century Gothic" w:hAnsi="Century Gothic" w:cs="BookAntiqua"/>
          <w:sz w:val="24"/>
          <w:szCs w:val="24"/>
          <w:lang w:val="es-PR"/>
        </w:rPr>
        <w:t>lación residente en Puerto Rico</w:t>
      </w:r>
      <w:r w:rsidR="00BE6320" w:rsidRPr="00BC3053">
        <w:rPr>
          <w:rFonts w:ascii="Century Gothic" w:hAnsi="Century Gothic" w:cs="BookAntiqua"/>
          <w:sz w:val="24"/>
          <w:szCs w:val="24"/>
          <w:lang w:val="es-PR"/>
        </w:rPr>
        <w:t>…y propiciar mejor calidad de vida”</w:t>
      </w:r>
      <w:r w:rsidR="003D1B8E" w:rsidRPr="00BC3053">
        <w:rPr>
          <w:rFonts w:ascii="Century Gothic" w:hAnsi="Century Gothic" w:cs="BookAntiqua"/>
          <w:sz w:val="24"/>
          <w:szCs w:val="24"/>
          <w:lang w:val="es-PR"/>
        </w:rPr>
        <w:t xml:space="preserve">.  Por tal razón – y en la medida en que constituye una intervención con la propiedad privada –el proceso debe proveer garantías  a los titulares, y oportunidad para la rehabilitación del inmueble. Así,  la notificación inicial, debe cumplir “sustancialmente” con las reglas de emplazamiento. </w:t>
      </w:r>
      <w:r w:rsidR="00BE6320" w:rsidRPr="00BC3053">
        <w:rPr>
          <w:rFonts w:ascii="Century Gothic" w:hAnsi="Century Gothic"/>
          <w:sz w:val="24"/>
          <w:szCs w:val="24"/>
          <w:lang w:val="es-PR"/>
        </w:rPr>
        <w:t>La parte notificada podrá solicitar una vista ante un Oficial Examinador, quien tras evaluar la prueba puede decidir que (a) no se debe declarar la propiedad estorbo público</w:t>
      </w:r>
      <w:r w:rsidR="00262D55" w:rsidRPr="00BC3053">
        <w:rPr>
          <w:rFonts w:ascii="Century Gothic" w:hAnsi="Century Gothic"/>
          <w:sz w:val="24"/>
          <w:szCs w:val="24"/>
          <w:lang w:val="es-PR"/>
        </w:rPr>
        <w:t xml:space="preserve">; </w:t>
      </w:r>
      <w:r w:rsidR="00BE6320" w:rsidRPr="00BC3053">
        <w:rPr>
          <w:rFonts w:ascii="Century Gothic" w:hAnsi="Century Gothic"/>
          <w:sz w:val="24"/>
          <w:szCs w:val="24"/>
          <w:lang w:val="es-PR"/>
        </w:rPr>
        <w:t>(b) que la propiedad sí debe declararse estorbo  público, pero que es susceptible de reparación, para lo cual concederá un término</w:t>
      </w:r>
      <w:r w:rsidR="00262D55" w:rsidRPr="00BC3053">
        <w:rPr>
          <w:rFonts w:ascii="Century Gothic" w:hAnsi="Century Gothic"/>
          <w:sz w:val="24"/>
          <w:szCs w:val="24"/>
          <w:lang w:val="es-PR"/>
        </w:rPr>
        <w:t>;</w:t>
      </w:r>
      <w:r w:rsidR="00BE6320" w:rsidRPr="00BC3053">
        <w:rPr>
          <w:rFonts w:ascii="Century Gothic" w:hAnsi="Century Gothic"/>
          <w:sz w:val="24"/>
          <w:szCs w:val="24"/>
          <w:lang w:val="es-PR"/>
        </w:rPr>
        <w:t xml:space="preserve"> y (c) que la propiedad es un estorbo no susceptible de reparación, ordena</w:t>
      </w:r>
      <w:r w:rsidR="00BA0688" w:rsidRPr="00BC3053">
        <w:rPr>
          <w:rFonts w:ascii="Century Gothic" w:hAnsi="Century Gothic"/>
          <w:sz w:val="24"/>
          <w:szCs w:val="24"/>
          <w:lang w:val="es-PR"/>
        </w:rPr>
        <w:t>n</w:t>
      </w:r>
      <w:r w:rsidR="00BE6320" w:rsidRPr="00BC3053">
        <w:rPr>
          <w:rFonts w:ascii="Century Gothic" w:hAnsi="Century Gothic"/>
          <w:sz w:val="24"/>
          <w:szCs w:val="24"/>
          <w:lang w:val="es-PR"/>
        </w:rPr>
        <w:t>do la reparación y limpieza po</w:t>
      </w:r>
      <w:r w:rsidR="00BA0688" w:rsidRPr="00BC3053">
        <w:rPr>
          <w:rFonts w:ascii="Century Gothic" w:hAnsi="Century Gothic"/>
          <w:sz w:val="24"/>
          <w:szCs w:val="24"/>
          <w:lang w:val="es-PR"/>
        </w:rPr>
        <w:t xml:space="preserve">r cuenta de la propietaria o, </w:t>
      </w:r>
      <w:r w:rsidR="00BE6320" w:rsidRPr="00BC3053">
        <w:rPr>
          <w:rFonts w:ascii="Century Gothic" w:hAnsi="Century Gothic"/>
          <w:sz w:val="24"/>
          <w:szCs w:val="24"/>
          <w:lang w:val="es-PR"/>
        </w:rPr>
        <w:t>ante la inacción de ésta, a costo del Municipio quien podrá enton</w:t>
      </w:r>
      <w:r w:rsidR="00262D55" w:rsidRPr="00BC3053">
        <w:rPr>
          <w:rFonts w:ascii="Century Gothic" w:hAnsi="Century Gothic"/>
          <w:sz w:val="24"/>
          <w:szCs w:val="24"/>
          <w:lang w:val="es-PR"/>
        </w:rPr>
        <w:t>c</w:t>
      </w:r>
      <w:r w:rsidR="00BE6320" w:rsidRPr="00BC3053">
        <w:rPr>
          <w:rFonts w:ascii="Century Gothic" w:hAnsi="Century Gothic"/>
          <w:sz w:val="24"/>
          <w:szCs w:val="24"/>
          <w:lang w:val="es-PR"/>
        </w:rPr>
        <w:t xml:space="preserve">es anotar en el Registro de la Propiedad un gravamen por la suma invertida. Si la propietaria, poseedora o persona con interés no comparece a oponerse a la identificación de la propiedad como estorbo público, al cabo de veinte días el Municipio podrá declarar la propiedad como estorbo público. Tendrá igual facultad si la propietaria que haya comparecido no cumple con lo ordenado por el Oficial Examinador. Una vez emitida la declaración de estorbo </w:t>
      </w:r>
      <w:r w:rsidR="00BA0688" w:rsidRPr="00BC3053">
        <w:rPr>
          <w:rFonts w:ascii="Century Gothic" w:hAnsi="Century Gothic"/>
          <w:sz w:val="24"/>
          <w:szCs w:val="24"/>
          <w:lang w:val="es-PR"/>
        </w:rPr>
        <w:t>público, la  propietaria</w:t>
      </w:r>
      <w:r w:rsidR="00BE6320" w:rsidRPr="00BC3053">
        <w:rPr>
          <w:rFonts w:ascii="Century Gothic" w:hAnsi="Century Gothic"/>
          <w:sz w:val="24"/>
          <w:szCs w:val="24"/>
          <w:lang w:val="es-PR"/>
        </w:rPr>
        <w:t xml:space="preserve"> vendrá obligad</w:t>
      </w:r>
      <w:r w:rsidR="00B21AA8" w:rsidRPr="00BC3053">
        <w:rPr>
          <w:rFonts w:ascii="Century Gothic" w:hAnsi="Century Gothic"/>
          <w:sz w:val="24"/>
          <w:szCs w:val="24"/>
          <w:lang w:val="es-PR"/>
        </w:rPr>
        <w:t>a</w:t>
      </w:r>
      <w:r w:rsidR="00BE6320" w:rsidRPr="00BC3053">
        <w:rPr>
          <w:rFonts w:ascii="Century Gothic" w:hAnsi="Century Gothic"/>
          <w:sz w:val="24"/>
          <w:szCs w:val="24"/>
          <w:lang w:val="es-PR"/>
        </w:rPr>
        <w:t xml:space="preserve"> a limpiar el mismo o a realizar las obras necesarias para eliminar tal condición. Si no lo hace, el Municipio podrá hacerlo, y constituirá una hipoteca legal tácita sobre la propiedad, inscribible mediante instancia. Además, podrá imponer una multa de entre $500 a $5,000, que </w:t>
      </w:r>
      <w:r w:rsidR="00B21AA8" w:rsidRPr="00BC3053">
        <w:rPr>
          <w:rFonts w:ascii="Century Gothic" w:hAnsi="Century Gothic"/>
          <w:sz w:val="24"/>
          <w:szCs w:val="24"/>
          <w:lang w:val="es-PR"/>
        </w:rPr>
        <w:t>de no ser pagada, se sumará a</w:t>
      </w:r>
      <w:r w:rsidR="00BE6320" w:rsidRPr="00BC3053">
        <w:rPr>
          <w:rFonts w:ascii="Century Gothic" w:hAnsi="Century Gothic"/>
          <w:sz w:val="24"/>
          <w:szCs w:val="24"/>
          <w:lang w:val="es-PR"/>
        </w:rPr>
        <w:t>l monto de la hipoteca legal tácita. Si los esfuerzos de cobro de dicha hipoteca son infructuosos, el Municipio puede ejecutar la propiedad y venderla en pública subasta. Luego de retener la cantidad adeudada</w:t>
      </w:r>
      <w:r w:rsidR="00B21AA8" w:rsidRPr="00BC3053">
        <w:rPr>
          <w:rFonts w:ascii="Century Gothic" w:hAnsi="Century Gothic"/>
          <w:sz w:val="24"/>
          <w:szCs w:val="24"/>
          <w:lang w:val="es-PR"/>
        </w:rPr>
        <w:t>,</w:t>
      </w:r>
      <w:r w:rsidR="00BE6320" w:rsidRPr="00BC3053">
        <w:rPr>
          <w:rFonts w:ascii="Century Gothic" w:hAnsi="Century Gothic"/>
          <w:sz w:val="24"/>
          <w:szCs w:val="24"/>
          <w:lang w:val="es-PR"/>
        </w:rPr>
        <w:t xml:space="preserve"> se debe consignar el </w:t>
      </w:r>
      <w:r w:rsidR="00BA0688" w:rsidRPr="00BC3053">
        <w:rPr>
          <w:rFonts w:ascii="Century Gothic" w:hAnsi="Century Gothic"/>
          <w:sz w:val="24"/>
          <w:szCs w:val="24"/>
          <w:lang w:val="es-PR"/>
        </w:rPr>
        <w:t xml:space="preserve">dinero </w:t>
      </w:r>
      <w:r w:rsidR="00BE6320" w:rsidRPr="00BC3053">
        <w:rPr>
          <w:rFonts w:ascii="Century Gothic" w:hAnsi="Century Gothic"/>
          <w:sz w:val="24"/>
          <w:szCs w:val="24"/>
          <w:lang w:val="es-PR"/>
        </w:rPr>
        <w:t xml:space="preserve">restante en una cuenta separada.  </w:t>
      </w:r>
    </w:p>
    <w:p w14:paraId="32C7885D" w14:textId="27504CD8" w:rsidR="004D6DCD" w:rsidRPr="00BC3053" w:rsidRDefault="00B21AA8" w:rsidP="00680E6A">
      <w:pPr>
        <w:ind w:firstLine="720"/>
        <w:jc w:val="both"/>
        <w:rPr>
          <w:rFonts w:ascii="Century Gothic" w:hAnsi="Century Gothic" w:cs="BookAntiqua"/>
          <w:kern w:val="0"/>
          <w:sz w:val="24"/>
          <w:szCs w:val="24"/>
          <w:lang w:val="es-PR"/>
        </w:rPr>
      </w:pPr>
      <w:r w:rsidRPr="00BC3053">
        <w:rPr>
          <w:rFonts w:ascii="Century Gothic" w:hAnsi="Century Gothic"/>
          <w:sz w:val="24"/>
          <w:szCs w:val="24"/>
          <w:lang w:val="es-PR"/>
        </w:rPr>
        <w:t>Sólo cuando ha culminado  el</w:t>
      </w:r>
      <w:r w:rsidR="003D1B8E" w:rsidRPr="00BC3053">
        <w:rPr>
          <w:rFonts w:ascii="Century Gothic" w:hAnsi="Century Gothic"/>
          <w:sz w:val="24"/>
          <w:szCs w:val="24"/>
          <w:lang w:val="es-PR"/>
        </w:rPr>
        <w:t xml:space="preserve"> proceso</w:t>
      </w:r>
      <w:r w:rsidRPr="00BC3053">
        <w:rPr>
          <w:rFonts w:ascii="Century Gothic" w:hAnsi="Century Gothic"/>
          <w:sz w:val="24"/>
          <w:szCs w:val="24"/>
          <w:lang w:val="es-PR"/>
        </w:rPr>
        <w:t xml:space="preserve"> de declaración de estorbo público</w:t>
      </w:r>
      <w:r w:rsidR="003D1B8E" w:rsidRPr="00BC3053">
        <w:rPr>
          <w:rFonts w:ascii="Century Gothic" w:hAnsi="Century Gothic"/>
          <w:sz w:val="24"/>
          <w:szCs w:val="24"/>
          <w:lang w:val="es-PR"/>
        </w:rPr>
        <w:t>, es que el Muni</w:t>
      </w:r>
      <w:r w:rsidR="00012DEC" w:rsidRPr="00BC3053">
        <w:rPr>
          <w:rFonts w:ascii="Century Gothic" w:hAnsi="Century Gothic"/>
          <w:sz w:val="24"/>
          <w:szCs w:val="24"/>
          <w:lang w:val="es-PR"/>
        </w:rPr>
        <w:t>ci</w:t>
      </w:r>
      <w:r w:rsidR="003D1B8E" w:rsidRPr="00BC3053">
        <w:rPr>
          <w:rFonts w:ascii="Century Gothic" w:hAnsi="Century Gothic"/>
          <w:sz w:val="24"/>
          <w:szCs w:val="24"/>
          <w:lang w:val="es-PR"/>
        </w:rPr>
        <w:t>pio puede recurrir a</w:t>
      </w:r>
      <w:r w:rsidR="00012DEC" w:rsidRPr="00BC3053">
        <w:rPr>
          <w:rFonts w:ascii="Century Gothic" w:hAnsi="Century Gothic"/>
          <w:sz w:val="24"/>
          <w:szCs w:val="24"/>
          <w:lang w:val="es-PR"/>
        </w:rPr>
        <w:t xml:space="preserve">l </w:t>
      </w:r>
      <w:r w:rsidR="00012DEC" w:rsidRPr="00BC3053">
        <w:rPr>
          <w:rFonts w:ascii="Century Gothic" w:hAnsi="Century Gothic" w:cs="BookAntiqua"/>
          <w:bCs/>
          <w:kern w:val="0"/>
          <w:sz w:val="24"/>
          <w:szCs w:val="24"/>
          <w:lang w:val="es-PR"/>
        </w:rPr>
        <w:t>poder</w:t>
      </w:r>
      <w:r w:rsidR="00012DEC" w:rsidRPr="00BC3053">
        <w:rPr>
          <w:rFonts w:ascii="Century Gothic" w:hAnsi="Century Gothic" w:cs="BookAntiqua"/>
          <w:kern w:val="0"/>
          <w:sz w:val="24"/>
          <w:szCs w:val="24"/>
          <w:lang w:val="es-PR"/>
        </w:rPr>
        <w:t> de </w:t>
      </w:r>
      <w:r w:rsidR="00012DEC" w:rsidRPr="00BC3053">
        <w:rPr>
          <w:rFonts w:ascii="Century Gothic" w:hAnsi="Century Gothic" w:cs="BookAntiqua"/>
          <w:bCs/>
          <w:kern w:val="0"/>
          <w:sz w:val="24"/>
          <w:szCs w:val="24"/>
          <w:lang w:val="es-PR"/>
        </w:rPr>
        <w:t>expropiación</w:t>
      </w:r>
      <w:r w:rsidR="00012DEC" w:rsidRPr="00BC3053">
        <w:rPr>
          <w:rFonts w:ascii="Century Gothic" w:hAnsi="Century Gothic" w:cs="BookAntiqua"/>
          <w:kern w:val="0"/>
          <w:sz w:val="24"/>
          <w:szCs w:val="24"/>
          <w:lang w:val="es-PR"/>
        </w:rPr>
        <w:t>, el cual es un atributo inherente al poder soberano del Estado y, como tal, de superior jerarquía a todos los derechos de propiedad</w:t>
      </w:r>
      <w:r w:rsidR="00012DEC" w:rsidRPr="00BC3053">
        <w:rPr>
          <w:rStyle w:val="FootnoteReference"/>
          <w:rFonts w:ascii="Century Gothic" w:hAnsi="Century Gothic" w:cs="BookAntiqua"/>
          <w:kern w:val="0"/>
          <w:sz w:val="24"/>
          <w:szCs w:val="24"/>
          <w:lang w:val="es-PR"/>
        </w:rPr>
        <w:footnoteReference w:id="2"/>
      </w:r>
      <w:r w:rsidR="004D6DCD" w:rsidRPr="00BC3053">
        <w:rPr>
          <w:rFonts w:ascii="Century Gothic" w:hAnsi="Century Gothic" w:cs="BookAntiqua"/>
          <w:kern w:val="0"/>
          <w:sz w:val="24"/>
          <w:szCs w:val="24"/>
          <w:lang w:val="es-PR"/>
        </w:rPr>
        <w:t>.</w:t>
      </w:r>
      <w:r w:rsidR="00A76049" w:rsidRPr="00BC3053">
        <w:rPr>
          <w:rFonts w:ascii="Century Gothic" w:hAnsi="Century Gothic" w:cs="BookAntiqua"/>
          <w:kern w:val="0"/>
          <w:sz w:val="24"/>
          <w:szCs w:val="24"/>
          <w:lang w:val="es-PR"/>
        </w:rPr>
        <w:t xml:space="preserve"> Cuando el Municipio expropie </w:t>
      </w:r>
      <w:r w:rsidR="004D6DCD" w:rsidRPr="00BC3053">
        <w:rPr>
          <w:rFonts w:ascii="Century Gothic" w:hAnsi="Century Gothic" w:cs="BookAntiqua"/>
          <w:kern w:val="0"/>
          <w:sz w:val="24"/>
          <w:szCs w:val="24"/>
          <w:lang w:val="es-PR"/>
        </w:rPr>
        <w:t xml:space="preserve">un estorbo </w:t>
      </w:r>
      <w:r w:rsidR="00A76049" w:rsidRPr="00BC3053">
        <w:rPr>
          <w:rFonts w:ascii="Century Gothic" w:hAnsi="Century Gothic" w:cs="BookAntiqua"/>
          <w:kern w:val="0"/>
          <w:sz w:val="24"/>
          <w:szCs w:val="24"/>
          <w:lang w:val="es-PR"/>
        </w:rPr>
        <w:t>por motivos de utilidad pública</w:t>
      </w:r>
      <w:r w:rsidR="004D6DCD" w:rsidRPr="00BC3053">
        <w:rPr>
          <w:rFonts w:ascii="Century Gothic" w:hAnsi="Century Gothic" w:cs="BookAntiqua"/>
          <w:kern w:val="0"/>
          <w:sz w:val="24"/>
          <w:szCs w:val="24"/>
          <w:lang w:val="es-PR"/>
        </w:rPr>
        <w:t>,</w:t>
      </w:r>
      <w:r w:rsidR="00A76049" w:rsidRPr="00BC3053">
        <w:rPr>
          <w:rFonts w:ascii="Century Gothic" w:hAnsi="Century Gothic" w:cs="BookAntiqua"/>
          <w:kern w:val="0"/>
          <w:sz w:val="24"/>
          <w:szCs w:val="24"/>
          <w:lang w:val="es-PR"/>
        </w:rPr>
        <w:t xml:space="preserve">  dispone el Artículo 4.010 (d) del Código que, “</w:t>
      </w:r>
      <w:r w:rsidR="004D6DCD" w:rsidRPr="00BC3053">
        <w:rPr>
          <w:rFonts w:ascii="Century Gothic" w:hAnsi="Century Gothic" w:cs="BookAntiqua"/>
          <w:kern w:val="0"/>
          <w:sz w:val="24"/>
          <w:szCs w:val="24"/>
          <w:lang w:val="es-PR"/>
        </w:rPr>
        <w:t>una vez se le transfiera la titularidad al municipio</w:t>
      </w:r>
      <w:r w:rsidRPr="00BC3053">
        <w:rPr>
          <w:rFonts w:ascii="Century Gothic" w:hAnsi="Century Gothic" w:cs="BookAntiqua"/>
          <w:kern w:val="0"/>
          <w:sz w:val="24"/>
          <w:szCs w:val="24"/>
          <w:lang w:val="es-PR"/>
        </w:rPr>
        <w:t>,</w:t>
      </w:r>
      <w:r w:rsidR="004D6DCD" w:rsidRPr="00BC3053">
        <w:rPr>
          <w:rFonts w:ascii="Century Gothic" w:hAnsi="Century Gothic" w:cs="BookAntiqua"/>
          <w:kern w:val="0"/>
          <w:sz w:val="24"/>
          <w:szCs w:val="24"/>
          <w:lang w:val="es-PR"/>
        </w:rPr>
        <w:t xml:space="preserve"> </w:t>
      </w:r>
      <w:r w:rsidR="00A76049" w:rsidRPr="00BC3053">
        <w:rPr>
          <w:rFonts w:ascii="Century Gothic" w:hAnsi="Century Gothic" w:cs="BookAntiqua"/>
          <w:kern w:val="0"/>
          <w:sz w:val="24"/>
          <w:szCs w:val="24"/>
          <w:lang w:val="es-PR"/>
        </w:rPr>
        <w:t xml:space="preserve">toda deuda….con el Centro </w:t>
      </w:r>
      <w:r w:rsidR="00A76049" w:rsidRPr="00BC3053">
        <w:rPr>
          <w:rFonts w:ascii="Century Gothic" w:hAnsi="Century Gothic" w:cs="BookAntiqua"/>
          <w:kern w:val="0"/>
          <w:sz w:val="24"/>
          <w:szCs w:val="24"/>
          <w:lang w:val="es-PR"/>
        </w:rPr>
        <w:lastRenderedPageBreak/>
        <w:t>de Recaudación de Ingresos Municipales será cancelada en su totalidad”</w:t>
      </w:r>
      <w:r w:rsidR="00AE61C2" w:rsidRPr="00BC3053">
        <w:rPr>
          <w:rStyle w:val="FootnoteReference"/>
          <w:rFonts w:ascii="Century Gothic" w:hAnsi="Century Gothic" w:cs="BookAntiqua"/>
          <w:kern w:val="0"/>
          <w:sz w:val="24"/>
          <w:szCs w:val="24"/>
          <w:lang w:val="es-PR"/>
        </w:rPr>
        <w:footnoteReference w:id="3"/>
      </w:r>
      <w:r w:rsidR="00AE61C2" w:rsidRPr="00BC3053">
        <w:rPr>
          <w:rFonts w:ascii="Century Gothic" w:hAnsi="Century Gothic" w:cs="BookAntiqua"/>
          <w:kern w:val="0"/>
          <w:sz w:val="24"/>
          <w:szCs w:val="24"/>
          <w:lang w:val="es-PR"/>
        </w:rPr>
        <w:t xml:space="preserve">. </w:t>
      </w:r>
      <w:r w:rsidR="00A76049" w:rsidRPr="00BC3053">
        <w:rPr>
          <w:rFonts w:ascii="Century Gothic" w:hAnsi="Century Gothic" w:cs="BookAntiqua"/>
          <w:kern w:val="0"/>
          <w:sz w:val="24"/>
          <w:szCs w:val="24"/>
          <w:lang w:val="es-PR"/>
        </w:rPr>
        <w:t xml:space="preserve">En estos casos, según el Artículo 2.018 (a)(4), se requiere la intervención de la Legislatura Municipal, que deberá aprobar una Ordenanza estableciendo cuál es la utilidad, “los fondos disponibles y reservados para cubrir la totalidad de la justa compensación” y el origen de los fondos, si éstos provienen de otra entidad gubernamental. </w:t>
      </w:r>
      <w:r w:rsidR="004D6DCD" w:rsidRPr="00BC3053">
        <w:rPr>
          <w:rFonts w:ascii="Century Gothic" w:hAnsi="Century Gothic" w:cs="BookAntiqua"/>
          <w:kern w:val="0"/>
          <w:sz w:val="24"/>
          <w:szCs w:val="24"/>
          <w:lang w:val="es-PR"/>
        </w:rPr>
        <w:t xml:space="preserve"> Las propiedades que el Municipio no fuere a expropia</w:t>
      </w:r>
      <w:r w:rsidRPr="00BC3053">
        <w:rPr>
          <w:rFonts w:ascii="Century Gothic" w:hAnsi="Century Gothic" w:cs="BookAntiqua"/>
          <w:kern w:val="0"/>
          <w:sz w:val="24"/>
          <w:szCs w:val="24"/>
          <w:lang w:val="es-PR"/>
        </w:rPr>
        <w:t>r para utilidad pública, deben</w:t>
      </w:r>
      <w:r w:rsidR="004D6DCD" w:rsidRPr="00BC3053">
        <w:rPr>
          <w:rFonts w:ascii="Century Gothic" w:hAnsi="Century Gothic" w:cs="BookAntiqua"/>
          <w:kern w:val="0"/>
          <w:sz w:val="24"/>
          <w:szCs w:val="24"/>
          <w:lang w:val="es-PR"/>
        </w:rPr>
        <w:t xml:space="preserve"> ser incluidas en un Inventario de Propiedades Declaradas como Estorbo Público, el cual, según mandata el Artículo 4.011, tiene que estar actualizado y disponible al público. </w:t>
      </w:r>
    </w:p>
    <w:p w14:paraId="3B25C371" w14:textId="67A73AA3" w:rsidR="004D6DCD" w:rsidRPr="00BC3053" w:rsidRDefault="004D6DCD" w:rsidP="00680E6A">
      <w:pPr>
        <w:ind w:firstLine="720"/>
        <w:jc w:val="both"/>
        <w:rPr>
          <w:rFonts w:ascii="Century Gothic" w:hAnsi="Century Gothic" w:cs="BookAntiqua"/>
          <w:kern w:val="0"/>
          <w:sz w:val="24"/>
          <w:szCs w:val="24"/>
          <w:lang w:val="es-PR"/>
        </w:rPr>
      </w:pPr>
      <w:r w:rsidRPr="00BC3053">
        <w:rPr>
          <w:rFonts w:ascii="Century Gothic" w:hAnsi="Century Gothic" w:cs="BookAntiqua"/>
          <w:kern w:val="0"/>
          <w:sz w:val="24"/>
          <w:szCs w:val="24"/>
          <w:lang w:val="es-PR"/>
        </w:rPr>
        <w:t xml:space="preserve">Ahora bien, en el Artículo 2.018 (v) </w:t>
      </w:r>
      <w:r w:rsidR="00BA0688" w:rsidRPr="00BC3053">
        <w:rPr>
          <w:rFonts w:ascii="Century Gothic" w:hAnsi="Century Gothic" w:cs="BookAntiqua"/>
          <w:kern w:val="0"/>
          <w:sz w:val="24"/>
          <w:szCs w:val="24"/>
          <w:lang w:val="es-PR"/>
        </w:rPr>
        <w:t xml:space="preserve">del Código Municipal </w:t>
      </w:r>
      <w:r w:rsidRPr="00BC3053">
        <w:rPr>
          <w:rFonts w:ascii="Century Gothic" w:hAnsi="Century Gothic" w:cs="BookAntiqua"/>
          <w:kern w:val="0"/>
          <w:sz w:val="24"/>
          <w:szCs w:val="24"/>
          <w:lang w:val="es-PR"/>
        </w:rPr>
        <w:t>se contempla la posibilidad de que el Municipio ejerza el poder de expropiación de “</w:t>
      </w:r>
      <w:r w:rsidR="00262D55" w:rsidRPr="00BC3053">
        <w:rPr>
          <w:rFonts w:ascii="Century Gothic" w:hAnsi="Century Gothic" w:cs="BookAntiqua"/>
          <w:kern w:val="0"/>
          <w:sz w:val="24"/>
          <w:szCs w:val="24"/>
          <w:lang w:val="es-PR"/>
        </w:rPr>
        <w:t>estructuras o solares abandonados</w:t>
      </w:r>
      <w:r w:rsidRPr="00BC3053">
        <w:rPr>
          <w:rFonts w:ascii="Century Gothic" w:hAnsi="Century Gothic" w:cs="BookAntiqua"/>
          <w:kern w:val="0"/>
          <w:sz w:val="24"/>
          <w:szCs w:val="24"/>
          <w:lang w:val="es-PR"/>
        </w:rPr>
        <w:t xml:space="preserve">…”, no para que la propiedad se dedique a una utilidad pública, sino para “transferir su titularidad a personas, corporaciones con o sin fines de lucro, desarrolladores, contratistas y cualesquiera otros que tengan un legítimo interés en mantener esas propiedades en condiciones” cuando eso “sea favorable al interés público”.  Para ello, el Artículo 4.012 dispone que “las propiedades </w:t>
      </w:r>
      <w:r w:rsidRPr="00BC3053">
        <w:rPr>
          <w:rFonts w:ascii="Century Gothic" w:hAnsi="Century Gothic" w:cs="BookAntiqua"/>
          <w:b/>
          <w:kern w:val="0"/>
          <w:sz w:val="24"/>
          <w:szCs w:val="24"/>
          <w:lang w:val="es-PR"/>
        </w:rPr>
        <w:t>incluidas en el Inventario</w:t>
      </w:r>
      <w:r w:rsidRPr="00BC3053">
        <w:rPr>
          <w:rFonts w:ascii="Century Gothic" w:hAnsi="Century Gothic" w:cs="BookAntiqua"/>
          <w:kern w:val="0"/>
          <w:sz w:val="24"/>
          <w:szCs w:val="24"/>
          <w:lang w:val="es-PR"/>
        </w:rPr>
        <w:t xml:space="preserve"> de Propiedades Declaradas Estorbo Público serán objeto de expropiación por el municipio para su posterior transferencia a toda persona que esté en disposición de adquirirla” una vez el Municipio haya adquirido la propiedad (lo cual puede hacer por expropiación o por compraventa). </w:t>
      </w:r>
      <w:r w:rsidR="00B7731E" w:rsidRPr="00BC3053">
        <w:rPr>
          <w:rFonts w:ascii="Century Gothic" w:hAnsi="Century Gothic" w:cs="BookAntiqua"/>
          <w:kern w:val="0"/>
          <w:sz w:val="24"/>
          <w:szCs w:val="24"/>
          <w:lang w:val="es-PR"/>
        </w:rPr>
        <w:t xml:space="preserve">En el mismo artículo se dispone que “con anterioridad al inicio de los procedimientos de </w:t>
      </w:r>
      <w:r w:rsidR="00B7731E" w:rsidRPr="00BC3053">
        <w:rPr>
          <w:rFonts w:ascii="Century Gothic" w:hAnsi="Century Gothic" w:cs="BookAntiqua"/>
          <w:b/>
          <w:kern w:val="0"/>
          <w:sz w:val="24"/>
          <w:szCs w:val="24"/>
          <w:lang w:val="es-PR"/>
        </w:rPr>
        <w:t>expropiación forzosa por parte del municipio de la propiedad declarada estorbo público</w:t>
      </w:r>
      <w:r w:rsidR="00B7731E" w:rsidRPr="00BC3053">
        <w:rPr>
          <w:rFonts w:ascii="Century Gothic" w:hAnsi="Century Gothic" w:cs="BookAntiqua"/>
          <w:kern w:val="0"/>
          <w:sz w:val="24"/>
          <w:szCs w:val="24"/>
          <w:lang w:val="es-PR"/>
        </w:rPr>
        <w:t xml:space="preserve">, </w:t>
      </w:r>
      <w:r w:rsidR="00B7731E" w:rsidRPr="00BC3053">
        <w:rPr>
          <w:rFonts w:ascii="Century Gothic" w:hAnsi="Century Gothic" w:cs="BookAntiqua"/>
          <w:b/>
          <w:kern w:val="0"/>
          <w:sz w:val="24"/>
          <w:szCs w:val="24"/>
          <w:lang w:val="es-PR"/>
        </w:rPr>
        <w:t>el solicitante-adquiriente proveerá al municipio los fondos necesarios</w:t>
      </w:r>
      <w:r w:rsidR="00B7731E" w:rsidRPr="00BC3053">
        <w:rPr>
          <w:rFonts w:ascii="Century Gothic" w:hAnsi="Century Gothic" w:cs="BookAntiqua"/>
          <w:kern w:val="0"/>
          <w:sz w:val="24"/>
          <w:szCs w:val="24"/>
          <w:lang w:val="es-PR"/>
        </w:rPr>
        <w:t xml:space="preserve"> para el pago del valor de la propiedad en el mercado, según la tasación del municipio”.  Cuando se dicte sentencia autorizando la expropiación a favor del municipio, éste transferirá la titularidad al adquiriente.  De esta manera, </w:t>
      </w:r>
      <w:r w:rsidR="00BA0688" w:rsidRPr="00BC3053">
        <w:rPr>
          <w:rFonts w:ascii="Century Gothic" w:hAnsi="Century Gothic" w:cs="BookAntiqua"/>
          <w:kern w:val="0"/>
          <w:sz w:val="24"/>
          <w:szCs w:val="24"/>
          <w:lang w:val="es-PR"/>
        </w:rPr>
        <w:t xml:space="preserve">el Código Municipal permite que, </w:t>
      </w:r>
      <w:r w:rsidR="00B7731E" w:rsidRPr="00BC3053">
        <w:rPr>
          <w:rFonts w:ascii="Century Gothic" w:hAnsi="Century Gothic" w:cs="BookAntiqua"/>
          <w:kern w:val="0"/>
          <w:sz w:val="24"/>
          <w:szCs w:val="24"/>
          <w:lang w:val="es-PR"/>
        </w:rPr>
        <w:t>e</w:t>
      </w:r>
      <w:r w:rsidR="00AE61C2" w:rsidRPr="00BC3053">
        <w:rPr>
          <w:rFonts w:ascii="Century Gothic" w:hAnsi="Century Gothic" w:cs="BookAntiqua"/>
          <w:kern w:val="0"/>
          <w:sz w:val="24"/>
          <w:szCs w:val="24"/>
          <w:lang w:val="es-PR"/>
        </w:rPr>
        <w:t xml:space="preserve">n el caso de las ventas a terceros, los </w:t>
      </w:r>
      <w:r w:rsidR="00B7731E" w:rsidRPr="00BC3053">
        <w:rPr>
          <w:rFonts w:ascii="Century Gothic" w:hAnsi="Century Gothic" w:cs="BookAntiqua"/>
          <w:kern w:val="0"/>
          <w:sz w:val="24"/>
          <w:szCs w:val="24"/>
          <w:lang w:val="es-PR"/>
        </w:rPr>
        <w:t xml:space="preserve"> municipio</w:t>
      </w:r>
      <w:r w:rsidR="00AE61C2" w:rsidRPr="00BC3053">
        <w:rPr>
          <w:rFonts w:ascii="Century Gothic" w:hAnsi="Century Gothic" w:cs="BookAntiqua"/>
          <w:kern w:val="0"/>
          <w:sz w:val="24"/>
          <w:szCs w:val="24"/>
          <w:lang w:val="es-PR"/>
        </w:rPr>
        <w:t>s</w:t>
      </w:r>
      <w:r w:rsidR="00BA0688" w:rsidRPr="00BC3053">
        <w:rPr>
          <w:rFonts w:ascii="Century Gothic" w:hAnsi="Century Gothic" w:cs="BookAntiqua"/>
          <w:kern w:val="0"/>
          <w:sz w:val="24"/>
          <w:szCs w:val="24"/>
          <w:lang w:val="es-PR"/>
        </w:rPr>
        <w:t xml:space="preserve"> puedan</w:t>
      </w:r>
      <w:r w:rsidR="00B7731E" w:rsidRPr="00BC3053">
        <w:rPr>
          <w:rFonts w:ascii="Century Gothic" w:hAnsi="Century Gothic" w:cs="BookAntiqua"/>
          <w:kern w:val="0"/>
          <w:sz w:val="24"/>
          <w:szCs w:val="24"/>
          <w:lang w:val="es-PR"/>
        </w:rPr>
        <w:t xml:space="preserve"> ejerce</w:t>
      </w:r>
      <w:r w:rsidR="00B21AA8" w:rsidRPr="00BC3053">
        <w:rPr>
          <w:rFonts w:ascii="Century Gothic" w:hAnsi="Century Gothic" w:cs="BookAntiqua"/>
          <w:kern w:val="0"/>
          <w:sz w:val="24"/>
          <w:szCs w:val="24"/>
          <w:lang w:val="es-PR"/>
        </w:rPr>
        <w:t>r</w:t>
      </w:r>
      <w:r w:rsidR="00B7731E" w:rsidRPr="00BC3053">
        <w:rPr>
          <w:rFonts w:ascii="Century Gothic" w:hAnsi="Century Gothic" w:cs="BookAntiqua"/>
          <w:kern w:val="0"/>
          <w:sz w:val="24"/>
          <w:szCs w:val="24"/>
          <w:lang w:val="es-PR"/>
        </w:rPr>
        <w:t xml:space="preserve"> su poder de exprop</w:t>
      </w:r>
      <w:r w:rsidR="00BA0688" w:rsidRPr="00BC3053">
        <w:rPr>
          <w:rFonts w:ascii="Century Gothic" w:hAnsi="Century Gothic" w:cs="BookAntiqua"/>
          <w:kern w:val="0"/>
          <w:sz w:val="24"/>
          <w:szCs w:val="24"/>
          <w:lang w:val="es-PR"/>
        </w:rPr>
        <w:t>iación sin tener que recurrir a subasta pública, sino requiriendo de personas o entidades privadas el pago adelantado de la propiedad a expropiarse, para poder consignar ese dinero en el pleito</w:t>
      </w:r>
      <w:r w:rsidR="00B21AA8" w:rsidRPr="00BC3053">
        <w:rPr>
          <w:rFonts w:ascii="Century Gothic" w:hAnsi="Century Gothic" w:cs="BookAntiqua"/>
          <w:kern w:val="0"/>
          <w:sz w:val="24"/>
          <w:szCs w:val="24"/>
          <w:lang w:val="es-PR"/>
        </w:rPr>
        <w:t xml:space="preserve"> de expropiación que instará el m</w:t>
      </w:r>
      <w:r w:rsidR="00BA0688" w:rsidRPr="00BC3053">
        <w:rPr>
          <w:rFonts w:ascii="Century Gothic" w:hAnsi="Century Gothic" w:cs="BookAntiqua"/>
          <w:kern w:val="0"/>
          <w:sz w:val="24"/>
          <w:szCs w:val="24"/>
          <w:lang w:val="es-PR"/>
        </w:rPr>
        <w:t xml:space="preserve">unicipio. Nos parece evidente que ese dinero, al entregarse al </w:t>
      </w:r>
      <w:r w:rsidR="00B21AA8" w:rsidRPr="00BC3053">
        <w:rPr>
          <w:rFonts w:ascii="Century Gothic" w:hAnsi="Century Gothic" w:cs="BookAntiqua"/>
          <w:kern w:val="0"/>
          <w:sz w:val="24"/>
          <w:szCs w:val="24"/>
          <w:lang w:val="es-PR"/>
        </w:rPr>
        <w:t>municipio</w:t>
      </w:r>
      <w:r w:rsidR="00BA0688" w:rsidRPr="00BC3053">
        <w:rPr>
          <w:rFonts w:ascii="Century Gothic" w:hAnsi="Century Gothic" w:cs="BookAntiqua"/>
          <w:kern w:val="0"/>
          <w:sz w:val="24"/>
          <w:szCs w:val="24"/>
          <w:lang w:val="es-PR"/>
        </w:rPr>
        <w:t xml:space="preserve"> para que éste</w:t>
      </w:r>
      <w:r w:rsidR="00680E6A" w:rsidRPr="00BC3053">
        <w:rPr>
          <w:rFonts w:ascii="Century Gothic" w:hAnsi="Century Gothic" w:cs="BookAntiqua"/>
          <w:kern w:val="0"/>
          <w:sz w:val="24"/>
          <w:szCs w:val="24"/>
          <w:lang w:val="es-PR"/>
        </w:rPr>
        <w:t xml:space="preserve">   ejerza </w:t>
      </w:r>
      <w:r w:rsidR="00680E6A" w:rsidRPr="00BC3053">
        <w:rPr>
          <w:rFonts w:ascii="Century Gothic" w:hAnsi="Century Gothic" w:cs="BookAntiqua"/>
          <w:kern w:val="0"/>
          <w:sz w:val="24"/>
          <w:szCs w:val="24"/>
          <w:lang w:val="es-PR"/>
        </w:rPr>
        <w:lastRenderedPageBreak/>
        <w:t xml:space="preserve">la </w:t>
      </w:r>
      <w:r w:rsidR="00BA0688" w:rsidRPr="00BC3053">
        <w:rPr>
          <w:rFonts w:ascii="Century Gothic" w:hAnsi="Century Gothic" w:cs="BookAntiqua"/>
          <w:kern w:val="0"/>
          <w:sz w:val="24"/>
          <w:szCs w:val="24"/>
          <w:lang w:val="es-PR"/>
        </w:rPr>
        <w:t>facultad de expropiaci</w:t>
      </w:r>
      <w:r w:rsidR="00680E6A" w:rsidRPr="00BC3053">
        <w:rPr>
          <w:rFonts w:ascii="Century Gothic" w:hAnsi="Century Gothic" w:cs="BookAntiqua"/>
          <w:kern w:val="0"/>
          <w:sz w:val="24"/>
          <w:szCs w:val="24"/>
          <w:lang w:val="es-PR"/>
        </w:rPr>
        <w:t xml:space="preserve">ón que tiene como entidad pública, constituye un ingreso municipal, y es por lo tanto, </w:t>
      </w:r>
      <w:r w:rsidR="00BA0688" w:rsidRPr="00BC3053">
        <w:rPr>
          <w:rFonts w:ascii="Century Gothic" w:hAnsi="Century Gothic" w:cs="BookAntiqua"/>
          <w:kern w:val="0"/>
          <w:sz w:val="24"/>
          <w:szCs w:val="24"/>
          <w:lang w:val="es-PR"/>
        </w:rPr>
        <w:t xml:space="preserve">fondos públicos. </w:t>
      </w:r>
      <w:r w:rsidR="00AE61C2" w:rsidRPr="00BC3053">
        <w:rPr>
          <w:rFonts w:ascii="Century Gothic" w:hAnsi="Century Gothic" w:cs="BookAntiqua"/>
          <w:kern w:val="0"/>
          <w:sz w:val="24"/>
          <w:szCs w:val="24"/>
          <w:lang w:val="es-PR"/>
        </w:rPr>
        <w:t xml:space="preserve"> </w:t>
      </w:r>
    </w:p>
    <w:p w14:paraId="40E3DDA3" w14:textId="6AAFCCAC" w:rsidR="0088146C" w:rsidRPr="00BC3053" w:rsidRDefault="0088146C" w:rsidP="00680E6A">
      <w:pPr>
        <w:ind w:firstLine="720"/>
        <w:jc w:val="both"/>
        <w:rPr>
          <w:rFonts w:ascii="Century Gothic" w:hAnsi="Century Gothic"/>
          <w:sz w:val="24"/>
          <w:szCs w:val="24"/>
          <w:lang w:val="es-PR"/>
        </w:rPr>
      </w:pPr>
      <w:r w:rsidRPr="00BC3053">
        <w:rPr>
          <w:rFonts w:ascii="Century Gothic" w:hAnsi="Century Gothic" w:cs="BookAntiqua"/>
          <w:kern w:val="0"/>
          <w:sz w:val="24"/>
          <w:szCs w:val="24"/>
          <w:lang w:val="es-PR"/>
        </w:rPr>
        <w:t>En los pasados años</w:t>
      </w:r>
      <w:r w:rsidR="00233946" w:rsidRPr="00BC3053">
        <w:rPr>
          <w:rFonts w:ascii="Century Gothic" w:hAnsi="Century Gothic" w:cs="BookAntiqua"/>
          <w:kern w:val="0"/>
          <w:sz w:val="24"/>
          <w:szCs w:val="24"/>
          <w:lang w:val="es-PR"/>
        </w:rPr>
        <w:t>,</w:t>
      </w:r>
      <w:r w:rsidRPr="00BC3053">
        <w:rPr>
          <w:rFonts w:ascii="Century Gothic" w:hAnsi="Century Gothic" w:cs="BookAntiqua"/>
          <w:kern w:val="0"/>
          <w:sz w:val="24"/>
          <w:szCs w:val="24"/>
          <w:lang w:val="es-PR"/>
        </w:rPr>
        <w:t xml:space="preserve"> </w:t>
      </w:r>
      <w:r w:rsidR="0069509A" w:rsidRPr="00BC3053">
        <w:rPr>
          <w:rFonts w:ascii="Century Gothic" w:hAnsi="Century Gothic" w:cs="BookAntiqua"/>
          <w:kern w:val="0"/>
          <w:sz w:val="24"/>
          <w:szCs w:val="24"/>
          <w:lang w:val="es-PR"/>
        </w:rPr>
        <w:t>veintitrés</w:t>
      </w:r>
      <w:r w:rsidR="00462296" w:rsidRPr="00BC3053">
        <w:rPr>
          <w:rFonts w:ascii="Century Gothic" w:hAnsi="Century Gothic" w:cs="BookAntiqua"/>
          <w:kern w:val="0"/>
          <w:sz w:val="24"/>
          <w:szCs w:val="24"/>
          <w:lang w:val="es-PR"/>
        </w:rPr>
        <w:t xml:space="preserve"> (2</w:t>
      </w:r>
      <w:r w:rsidR="0069509A" w:rsidRPr="00BC3053">
        <w:rPr>
          <w:rFonts w:ascii="Century Gothic" w:hAnsi="Century Gothic" w:cs="BookAntiqua"/>
          <w:kern w:val="0"/>
          <w:sz w:val="24"/>
          <w:szCs w:val="24"/>
          <w:lang w:val="es-PR"/>
        </w:rPr>
        <w:t>3</w:t>
      </w:r>
      <w:r w:rsidR="00462296" w:rsidRPr="00BC3053">
        <w:rPr>
          <w:rFonts w:ascii="Century Gothic" w:hAnsi="Century Gothic" w:cs="BookAntiqua"/>
          <w:kern w:val="0"/>
          <w:sz w:val="24"/>
          <w:szCs w:val="24"/>
          <w:lang w:val="es-PR"/>
        </w:rPr>
        <w:t xml:space="preserve">) municipios han </w:t>
      </w:r>
      <w:r w:rsidR="00A7423A" w:rsidRPr="00BC3053">
        <w:rPr>
          <w:rFonts w:ascii="Century Gothic" w:hAnsi="Century Gothic" w:cs="BookAntiqua"/>
          <w:kern w:val="0"/>
          <w:sz w:val="24"/>
          <w:szCs w:val="24"/>
          <w:lang w:val="es-PR"/>
        </w:rPr>
        <w:t xml:space="preserve">otorgado contratos mediante los cuales </w:t>
      </w:r>
      <w:r w:rsidR="00462296" w:rsidRPr="00BC3053">
        <w:rPr>
          <w:rFonts w:ascii="Century Gothic" w:hAnsi="Century Gothic" w:cs="BookAntiqua"/>
          <w:kern w:val="0"/>
          <w:sz w:val="24"/>
          <w:szCs w:val="24"/>
          <w:lang w:val="es-PR"/>
        </w:rPr>
        <w:t>delega</w:t>
      </w:r>
      <w:r w:rsidR="00A7423A" w:rsidRPr="00BC3053">
        <w:rPr>
          <w:rFonts w:ascii="Century Gothic" w:hAnsi="Century Gothic" w:cs="BookAntiqua"/>
          <w:kern w:val="0"/>
          <w:sz w:val="24"/>
          <w:szCs w:val="24"/>
          <w:lang w:val="es-PR"/>
        </w:rPr>
        <w:t>n</w:t>
      </w:r>
      <w:r w:rsidR="00B21AA8" w:rsidRPr="00BC3053">
        <w:rPr>
          <w:rFonts w:ascii="Century Gothic" w:hAnsi="Century Gothic" w:cs="BookAntiqua"/>
          <w:kern w:val="0"/>
          <w:sz w:val="24"/>
          <w:szCs w:val="24"/>
          <w:lang w:val="es-PR"/>
        </w:rPr>
        <w:t xml:space="preserve"> sus </w:t>
      </w:r>
      <w:r w:rsidR="00577842" w:rsidRPr="00BC3053">
        <w:rPr>
          <w:rFonts w:ascii="Century Gothic" w:hAnsi="Century Gothic" w:cs="BookAntiqua"/>
          <w:kern w:val="0"/>
          <w:sz w:val="24"/>
          <w:szCs w:val="24"/>
          <w:lang w:val="es-PR"/>
        </w:rPr>
        <w:t xml:space="preserve">amplios poderes de declaración de estorbos públicos, expropiación </w:t>
      </w:r>
      <w:r w:rsidR="00B21AA8" w:rsidRPr="00BC3053">
        <w:rPr>
          <w:rFonts w:ascii="Century Gothic" w:hAnsi="Century Gothic" w:cs="BookAntiqua"/>
          <w:kern w:val="0"/>
          <w:sz w:val="24"/>
          <w:szCs w:val="24"/>
          <w:lang w:val="es-PR"/>
        </w:rPr>
        <w:t xml:space="preserve">forzosa, </w:t>
      </w:r>
      <w:r w:rsidR="00577842" w:rsidRPr="00BC3053">
        <w:rPr>
          <w:rFonts w:ascii="Century Gothic" w:hAnsi="Century Gothic" w:cs="BookAntiqua"/>
          <w:kern w:val="0"/>
          <w:sz w:val="24"/>
          <w:szCs w:val="24"/>
          <w:lang w:val="es-PR"/>
        </w:rPr>
        <w:t xml:space="preserve"> recaudación de fondos públicos, representación en procesos judiciales y venta a terceros</w:t>
      </w:r>
      <w:r w:rsidR="00B21AA8" w:rsidRPr="00BC3053">
        <w:rPr>
          <w:rFonts w:ascii="Century Gothic" w:hAnsi="Century Gothic" w:cs="BookAntiqua"/>
          <w:kern w:val="0"/>
          <w:sz w:val="24"/>
          <w:szCs w:val="24"/>
          <w:lang w:val="es-PR"/>
        </w:rPr>
        <w:t xml:space="preserve">, </w:t>
      </w:r>
      <w:r w:rsidR="00462296" w:rsidRPr="00BC3053">
        <w:rPr>
          <w:rFonts w:ascii="Century Gothic" w:hAnsi="Century Gothic" w:cs="BookAntiqua"/>
          <w:kern w:val="0"/>
          <w:sz w:val="24"/>
          <w:szCs w:val="24"/>
          <w:lang w:val="es-PR"/>
        </w:rPr>
        <w:t xml:space="preserve"> a </w:t>
      </w:r>
      <w:r w:rsidRPr="00BC3053">
        <w:rPr>
          <w:rFonts w:ascii="Century Gothic" w:hAnsi="Century Gothic" w:cs="BookAntiqua"/>
          <w:kern w:val="0"/>
          <w:sz w:val="24"/>
          <w:szCs w:val="24"/>
          <w:lang w:val="es-PR"/>
        </w:rPr>
        <w:t xml:space="preserve">dos </w:t>
      </w:r>
      <w:r w:rsidR="00462296" w:rsidRPr="00BC3053">
        <w:rPr>
          <w:rFonts w:ascii="Century Gothic" w:hAnsi="Century Gothic" w:cs="BookAntiqua"/>
          <w:kern w:val="0"/>
          <w:sz w:val="24"/>
          <w:szCs w:val="24"/>
          <w:lang w:val="es-PR"/>
        </w:rPr>
        <w:t>corporaciones privadas</w:t>
      </w:r>
      <w:r w:rsidR="00BA0688" w:rsidRPr="00BC3053">
        <w:rPr>
          <w:rFonts w:ascii="Century Gothic" w:hAnsi="Century Gothic" w:cs="BookAntiqua"/>
          <w:kern w:val="0"/>
          <w:sz w:val="24"/>
          <w:szCs w:val="24"/>
          <w:lang w:val="es-PR"/>
        </w:rPr>
        <w:t xml:space="preserve">, </w:t>
      </w:r>
      <w:r w:rsidRPr="00BC3053">
        <w:rPr>
          <w:rFonts w:ascii="Century Gothic" w:hAnsi="Century Gothic" w:cs="BookAntiqua"/>
          <w:b/>
          <w:kern w:val="0"/>
          <w:sz w:val="24"/>
          <w:szCs w:val="24"/>
          <w:lang w:val="es-PR"/>
        </w:rPr>
        <w:t xml:space="preserve">Universal </w:t>
      </w:r>
      <w:proofErr w:type="spellStart"/>
      <w:r w:rsidRPr="00BC3053">
        <w:rPr>
          <w:rFonts w:ascii="Century Gothic" w:hAnsi="Century Gothic" w:cs="BookAntiqua"/>
          <w:b/>
          <w:kern w:val="0"/>
          <w:sz w:val="24"/>
          <w:szCs w:val="24"/>
          <w:lang w:val="es-PR"/>
        </w:rPr>
        <w:t>Properties</w:t>
      </w:r>
      <w:proofErr w:type="spellEnd"/>
      <w:r w:rsidRPr="00BC3053">
        <w:rPr>
          <w:rFonts w:ascii="Century Gothic" w:hAnsi="Century Gothic" w:cs="BookAntiqua"/>
          <w:b/>
          <w:kern w:val="0"/>
          <w:sz w:val="24"/>
          <w:szCs w:val="24"/>
          <w:lang w:val="es-PR"/>
        </w:rPr>
        <w:t xml:space="preserve"> </w:t>
      </w:r>
      <w:proofErr w:type="spellStart"/>
      <w:r w:rsidRPr="00BC3053">
        <w:rPr>
          <w:rFonts w:ascii="Century Gothic" w:hAnsi="Century Gothic" w:cs="BookAntiqua"/>
          <w:b/>
          <w:kern w:val="0"/>
          <w:sz w:val="24"/>
          <w:szCs w:val="24"/>
          <w:lang w:val="es-PR"/>
        </w:rPr>
        <w:t>Realty</w:t>
      </w:r>
      <w:proofErr w:type="spellEnd"/>
      <w:r w:rsidRPr="00BC3053">
        <w:rPr>
          <w:rFonts w:ascii="Century Gothic" w:hAnsi="Century Gothic" w:cs="BookAntiqua"/>
          <w:b/>
          <w:kern w:val="0"/>
          <w:sz w:val="24"/>
          <w:szCs w:val="24"/>
          <w:lang w:val="es-PR"/>
        </w:rPr>
        <w:t xml:space="preserve"> </w:t>
      </w:r>
      <w:proofErr w:type="spellStart"/>
      <w:r w:rsidRPr="00BC3053">
        <w:rPr>
          <w:rFonts w:ascii="Century Gothic" w:hAnsi="Century Gothic" w:cs="BookAntiqua"/>
          <w:b/>
          <w:kern w:val="0"/>
          <w:sz w:val="24"/>
          <w:szCs w:val="24"/>
          <w:lang w:val="es-PR"/>
        </w:rPr>
        <w:t>Government</w:t>
      </w:r>
      <w:proofErr w:type="spellEnd"/>
      <w:r w:rsidRPr="00BC3053">
        <w:rPr>
          <w:rFonts w:ascii="Century Gothic" w:hAnsi="Century Gothic" w:cs="BookAntiqua"/>
          <w:b/>
          <w:kern w:val="0"/>
          <w:sz w:val="24"/>
          <w:szCs w:val="24"/>
          <w:lang w:val="es-PR"/>
        </w:rPr>
        <w:t xml:space="preserve"> </w:t>
      </w:r>
      <w:proofErr w:type="spellStart"/>
      <w:r w:rsidRPr="00BC3053">
        <w:rPr>
          <w:rFonts w:ascii="Century Gothic" w:hAnsi="Century Gothic" w:cs="BookAntiqua"/>
          <w:b/>
          <w:kern w:val="0"/>
          <w:sz w:val="24"/>
          <w:szCs w:val="24"/>
          <w:lang w:val="es-PR"/>
        </w:rPr>
        <w:t>Services</w:t>
      </w:r>
      <w:proofErr w:type="spellEnd"/>
      <w:r w:rsidRPr="00BC3053">
        <w:rPr>
          <w:rFonts w:ascii="Century Gothic" w:hAnsi="Century Gothic" w:cs="BookAntiqua"/>
          <w:b/>
          <w:kern w:val="0"/>
          <w:sz w:val="24"/>
          <w:szCs w:val="24"/>
          <w:lang w:val="es-PR"/>
        </w:rPr>
        <w:t>, LLC</w:t>
      </w:r>
      <w:r w:rsidRPr="00BC3053">
        <w:rPr>
          <w:rFonts w:ascii="Century Gothic" w:hAnsi="Century Gothic" w:cs="BookAntiqua"/>
          <w:kern w:val="0"/>
          <w:sz w:val="24"/>
          <w:szCs w:val="24"/>
          <w:lang w:val="es-PR"/>
        </w:rPr>
        <w:t xml:space="preserve"> y </w:t>
      </w:r>
      <w:r w:rsidRPr="00BC3053">
        <w:rPr>
          <w:rFonts w:ascii="Century Gothic" w:hAnsi="Century Gothic" w:cs="BookAntiqua"/>
          <w:b/>
          <w:kern w:val="0"/>
          <w:sz w:val="24"/>
          <w:szCs w:val="24"/>
          <w:lang w:val="es-PR"/>
        </w:rPr>
        <w:t xml:space="preserve">Francis &amp; </w:t>
      </w:r>
      <w:proofErr w:type="spellStart"/>
      <w:r w:rsidRPr="00BC3053">
        <w:rPr>
          <w:rFonts w:ascii="Century Gothic" w:hAnsi="Century Gothic" w:cs="BookAntiqua"/>
          <w:b/>
          <w:kern w:val="0"/>
          <w:sz w:val="24"/>
          <w:szCs w:val="24"/>
          <w:lang w:val="es-PR"/>
        </w:rPr>
        <w:t>Gueits</w:t>
      </w:r>
      <w:proofErr w:type="spellEnd"/>
      <w:r w:rsidRPr="00BC3053">
        <w:rPr>
          <w:rFonts w:ascii="Century Gothic" w:hAnsi="Century Gothic" w:cs="BookAntiqua"/>
          <w:b/>
          <w:kern w:val="0"/>
          <w:sz w:val="24"/>
          <w:szCs w:val="24"/>
          <w:lang w:val="es-PR"/>
        </w:rPr>
        <w:t xml:space="preserve"> </w:t>
      </w:r>
      <w:proofErr w:type="spellStart"/>
      <w:r w:rsidRPr="00BC3053">
        <w:rPr>
          <w:rFonts w:ascii="Century Gothic" w:hAnsi="Century Gothic" w:cs="BookAntiqua"/>
          <w:b/>
          <w:kern w:val="0"/>
          <w:sz w:val="24"/>
          <w:szCs w:val="24"/>
          <w:lang w:val="es-PR"/>
        </w:rPr>
        <w:t>Law</w:t>
      </w:r>
      <w:proofErr w:type="spellEnd"/>
      <w:r w:rsidRPr="00BC3053">
        <w:rPr>
          <w:rFonts w:ascii="Century Gothic" w:hAnsi="Century Gothic" w:cs="BookAntiqua"/>
          <w:b/>
          <w:kern w:val="0"/>
          <w:sz w:val="24"/>
          <w:szCs w:val="24"/>
          <w:lang w:val="es-PR"/>
        </w:rPr>
        <w:t xml:space="preserve"> </w:t>
      </w:r>
      <w:proofErr w:type="spellStart"/>
      <w:r w:rsidRPr="00BC3053">
        <w:rPr>
          <w:rFonts w:ascii="Century Gothic" w:hAnsi="Century Gothic" w:cs="BookAntiqua"/>
          <w:b/>
          <w:kern w:val="0"/>
          <w:sz w:val="24"/>
          <w:szCs w:val="24"/>
          <w:lang w:val="es-PR"/>
        </w:rPr>
        <w:t>Offices</w:t>
      </w:r>
      <w:proofErr w:type="spellEnd"/>
      <w:r w:rsidR="00E37784" w:rsidRPr="00BC3053">
        <w:rPr>
          <w:rFonts w:ascii="Century Gothic" w:hAnsi="Century Gothic" w:cs="BookAntiqua"/>
          <w:kern w:val="0"/>
          <w:sz w:val="24"/>
          <w:szCs w:val="24"/>
          <w:lang w:val="es-PR"/>
        </w:rPr>
        <w:t xml:space="preserve">. Aquí la lista: </w:t>
      </w:r>
      <w:r w:rsidR="00993749" w:rsidRPr="00BC3053">
        <w:rPr>
          <w:rFonts w:ascii="Century Gothic" w:hAnsi="Century Gothic"/>
          <w:sz w:val="24"/>
          <w:szCs w:val="24"/>
          <w:lang w:val="es-PR"/>
        </w:rPr>
        <w:t xml:space="preserve"> </w:t>
      </w:r>
    </w:p>
    <w:p w14:paraId="58345B5B" w14:textId="77777777" w:rsidR="00D55D0B" w:rsidRPr="00BC3053" w:rsidRDefault="00D55D0B" w:rsidP="00D55D0B">
      <w:pPr>
        <w:jc w:val="center"/>
        <w:rPr>
          <w:rFonts w:ascii="Century Gothic" w:hAnsi="Century Gothic"/>
          <w:b/>
          <w:bCs/>
          <w:sz w:val="24"/>
          <w:szCs w:val="24"/>
          <w:lang w:val="es-PR"/>
        </w:rPr>
      </w:pPr>
      <w:r w:rsidRPr="00BC3053">
        <w:rPr>
          <w:rFonts w:ascii="Century Gothic" w:hAnsi="Century Gothic"/>
          <w:b/>
          <w:bCs/>
          <w:sz w:val="24"/>
          <w:szCs w:val="24"/>
          <w:lang w:val="es-PR"/>
        </w:rPr>
        <w:t xml:space="preserve">Municipios con contratos para la eliminación, reducción y control de estorbos públicos con Universal </w:t>
      </w:r>
      <w:proofErr w:type="spellStart"/>
      <w:r w:rsidRPr="00BC3053">
        <w:rPr>
          <w:rFonts w:ascii="Century Gothic" w:hAnsi="Century Gothic"/>
          <w:b/>
          <w:bCs/>
          <w:sz w:val="24"/>
          <w:szCs w:val="24"/>
          <w:lang w:val="es-PR"/>
        </w:rPr>
        <w:t>Properties</w:t>
      </w:r>
      <w:proofErr w:type="spellEnd"/>
      <w:r w:rsidRPr="00BC3053">
        <w:rPr>
          <w:rFonts w:ascii="Century Gothic" w:hAnsi="Century Gothic"/>
          <w:b/>
          <w:bCs/>
          <w:sz w:val="24"/>
          <w:szCs w:val="24"/>
          <w:lang w:val="es-PR"/>
        </w:rPr>
        <w:t xml:space="preserve"> </w:t>
      </w:r>
      <w:proofErr w:type="spellStart"/>
      <w:r w:rsidRPr="00BC3053">
        <w:rPr>
          <w:rFonts w:ascii="Century Gothic" w:hAnsi="Century Gothic"/>
          <w:b/>
          <w:bCs/>
          <w:sz w:val="24"/>
          <w:szCs w:val="24"/>
          <w:lang w:val="es-PR"/>
        </w:rPr>
        <w:t>Realty</w:t>
      </w:r>
      <w:proofErr w:type="spellEnd"/>
      <w:r w:rsidRPr="00BC3053">
        <w:rPr>
          <w:rFonts w:ascii="Century Gothic" w:hAnsi="Century Gothic"/>
          <w:b/>
          <w:bCs/>
          <w:sz w:val="24"/>
          <w:szCs w:val="24"/>
          <w:lang w:val="es-PR"/>
        </w:rPr>
        <w:t xml:space="preserve"> </w:t>
      </w:r>
      <w:proofErr w:type="spellStart"/>
      <w:r w:rsidRPr="00BC3053">
        <w:rPr>
          <w:rFonts w:ascii="Century Gothic" w:hAnsi="Century Gothic"/>
          <w:b/>
          <w:bCs/>
          <w:sz w:val="24"/>
          <w:szCs w:val="24"/>
          <w:lang w:val="es-PR"/>
        </w:rPr>
        <w:t>Government</w:t>
      </w:r>
      <w:proofErr w:type="spellEnd"/>
      <w:r w:rsidRPr="00BC3053">
        <w:rPr>
          <w:rFonts w:ascii="Century Gothic" w:hAnsi="Century Gothic"/>
          <w:b/>
          <w:bCs/>
          <w:sz w:val="24"/>
          <w:szCs w:val="24"/>
          <w:lang w:val="es-PR"/>
        </w:rPr>
        <w:t xml:space="preserve"> </w:t>
      </w:r>
      <w:proofErr w:type="spellStart"/>
      <w:r w:rsidRPr="00BC3053">
        <w:rPr>
          <w:rFonts w:ascii="Century Gothic" w:hAnsi="Century Gothic"/>
          <w:b/>
          <w:bCs/>
          <w:sz w:val="24"/>
          <w:szCs w:val="24"/>
          <w:lang w:val="es-PR"/>
        </w:rPr>
        <w:t>Services</w:t>
      </w:r>
      <w:proofErr w:type="spellEnd"/>
      <w:r w:rsidRPr="00BC3053">
        <w:rPr>
          <w:rFonts w:ascii="Century Gothic" w:hAnsi="Century Gothic"/>
          <w:b/>
          <w:bCs/>
          <w:sz w:val="24"/>
          <w:szCs w:val="24"/>
          <w:lang w:val="es-PR"/>
        </w:rPr>
        <w:t>, LLC</w:t>
      </w:r>
    </w:p>
    <w:tbl>
      <w:tblPr>
        <w:tblStyle w:val="TableGrid"/>
        <w:tblW w:w="0" w:type="auto"/>
        <w:tblLook w:val="04A0" w:firstRow="1" w:lastRow="0" w:firstColumn="1" w:lastColumn="0" w:noHBand="0" w:noVBand="1"/>
      </w:tblPr>
      <w:tblGrid>
        <w:gridCol w:w="2300"/>
        <w:gridCol w:w="2212"/>
        <w:gridCol w:w="2820"/>
        <w:gridCol w:w="2018"/>
      </w:tblGrid>
      <w:tr w:rsidR="00D55D0B" w:rsidRPr="00BC3053" w14:paraId="123C8197" w14:textId="77777777" w:rsidTr="001561A0">
        <w:tc>
          <w:tcPr>
            <w:tcW w:w="1539" w:type="dxa"/>
          </w:tcPr>
          <w:p w14:paraId="6BA18DC5"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Municipio</w:t>
            </w:r>
          </w:p>
        </w:tc>
        <w:tc>
          <w:tcPr>
            <w:tcW w:w="2295" w:type="dxa"/>
          </w:tcPr>
          <w:p w14:paraId="2FC8A4FF" w14:textId="77777777" w:rsidR="00D55D0B" w:rsidRPr="00BC3053" w:rsidRDefault="00D55D0B" w:rsidP="001561A0">
            <w:pPr>
              <w:jc w:val="center"/>
              <w:rPr>
                <w:rFonts w:ascii="Century Gothic" w:hAnsi="Century Gothic"/>
                <w:sz w:val="24"/>
                <w:szCs w:val="24"/>
              </w:rPr>
            </w:pPr>
            <w:proofErr w:type="spellStart"/>
            <w:r w:rsidRPr="00BC3053">
              <w:rPr>
                <w:rFonts w:ascii="Century Gothic" w:hAnsi="Century Gothic"/>
                <w:sz w:val="24"/>
                <w:szCs w:val="24"/>
              </w:rPr>
              <w:t>Fecha</w:t>
            </w:r>
            <w:proofErr w:type="spellEnd"/>
            <w:r w:rsidRPr="00BC3053">
              <w:rPr>
                <w:rFonts w:ascii="Century Gothic" w:hAnsi="Century Gothic"/>
                <w:sz w:val="24"/>
                <w:szCs w:val="24"/>
              </w:rPr>
              <w:t xml:space="preserve"> de </w:t>
            </w:r>
            <w:proofErr w:type="spellStart"/>
            <w:r w:rsidRPr="00BC3053">
              <w:rPr>
                <w:rFonts w:ascii="Century Gothic" w:hAnsi="Century Gothic"/>
                <w:sz w:val="24"/>
                <w:szCs w:val="24"/>
              </w:rPr>
              <w:t>vigencia</w:t>
            </w:r>
            <w:proofErr w:type="spellEnd"/>
          </w:p>
        </w:tc>
        <w:tc>
          <w:tcPr>
            <w:tcW w:w="3011" w:type="dxa"/>
          </w:tcPr>
          <w:p w14:paraId="3F6E89CD" w14:textId="77777777" w:rsidR="00D55D0B" w:rsidRPr="00BC3053" w:rsidRDefault="00D55D0B" w:rsidP="001561A0">
            <w:pPr>
              <w:jc w:val="center"/>
              <w:rPr>
                <w:rFonts w:ascii="Century Gothic" w:hAnsi="Century Gothic"/>
                <w:sz w:val="24"/>
                <w:szCs w:val="24"/>
              </w:rPr>
            </w:pPr>
            <w:proofErr w:type="spellStart"/>
            <w:r w:rsidRPr="00BC3053">
              <w:rPr>
                <w:rFonts w:ascii="Century Gothic" w:hAnsi="Century Gothic"/>
                <w:sz w:val="24"/>
                <w:szCs w:val="24"/>
              </w:rPr>
              <w:t>Vigente</w:t>
            </w:r>
            <w:proofErr w:type="spellEnd"/>
            <w:r w:rsidRPr="00BC3053">
              <w:rPr>
                <w:rFonts w:ascii="Century Gothic" w:hAnsi="Century Gothic"/>
                <w:sz w:val="24"/>
                <w:szCs w:val="24"/>
              </w:rPr>
              <w:t xml:space="preserve"> hasta</w:t>
            </w:r>
          </w:p>
        </w:tc>
        <w:tc>
          <w:tcPr>
            <w:tcW w:w="2150" w:type="dxa"/>
          </w:tcPr>
          <w:p w14:paraId="0EA95C09" w14:textId="77777777" w:rsidR="00D55D0B" w:rsidRPr="00BC3053" w:rsidRDefault="00D55D0B" w:rsidP="001561A0">
            <w:pPr>
              <w:jc w:val="center"/>
              <w:rPr>
                <w:rFonts w:ascii="Century Gothic" w:hAnsi="Century Gothic"/>
                <w:sz w:val="24"/>
                <w:szCs w:val="24"/>
              </w:rPr>
            </w:pPr>
            <w:proofErr w:type="spellStart"/>
            <w:r w:rsidRPr="00BC3053">
              <w:rPr>
                <w:rFonts w:ascii="Century Gothic" w:hAnsi="Century Gothic"/>
                <w:sz w:val="24"/>
                <w:szCs w:val="24"/>
              </w:rPr>
              <w:t>Núm</w:t>
            </w:r>
            <w:proofErr w:type="spellEnd"/>
            <w:r w:rsidRPr="00BC3053">
              <w:rPr>
                <w:rFonts w:ascii="Century Gothic" w:hAnsi="Century Gothic"/>
                <w:sz w:val="24"/>
                <w:szCs w:val="24"/>
              </w:rPr>
              <w:t xml:space="preserve">. De </w:t>
            </w:r>
            <w:proofErr w:type="spellStart"/>
            <w:r w:rsidRPr="00BC3053">
              <w:rPr>
                <w:rFonts w:ascii="Century Gothic" w:hAnsi="Century Gothic"/>
                <w:sz w:val="24"/>
                <w:szCs w:val="24"/>
              </w:rPr>
              <w:t>Contrato</w:t>
            </w:r>
            <w:proofErr w:type="spellEnd"/>
          </w:p>
        </w:tc>
      </w:tr>
      <w:tr w:rsidR="00D55D0B" w:rsidRPr="00BC3053" w14:paraId="17FE989C" w14:textId="77777777" w:rsidTr="001561A0">
        <w:tc>
          <w:tcPr>
            <w:tcW w:w="1539" w:type="dxa"/>
          </w:tcPr>
          <w:p w14:paraId="364439CD" w14:textId="77777777" w:rsidR="00D55D0B" w:rsidRPr="00BC3053" w:rsidRDefault="00D55D0B" w:rsidP="001561A0">
            <w:pPr>
              <w:pStyle w:val="ListParagraph"/>
              <w:numPr>
                <w:ilvl w:val="0"/>
                <w:numId w:val="1"/>
              </w:numPr>
              <w:rPr>
                <w:rFonts w:ascii="Century Gothic" w:hAnsi="Century Gothic"/>
                <w:sz w:val="24"/>
                <w:szCs w:val="24"/>
              </w:rPr>
            </w:pPr>
            <w:proofErr w:type="spellStart"/>
            <w:r w:rsidRPr="00BC3053">
              <w:rPr>
                <w:rFonts w:ascii="Century Gothic" w:hAnsi="Century Gothic"/>
                <w:sz w:val="24"/>
                <w:szCs w:val="24"/>
              </w:rPr>
              <w:t>Morovis</w:t>
            </w:r>
            <w:proofErr w:type="spellEnd"/>
          </w:p>
        </w:tc>
        <w:tc>
          <w:tcPr>
            <w:tcW w:w="2295" w:type="dxa"/>
          </w:tcPr>
          <w:p w14:paraId="726A2CEF"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07/oct/2021</w:t>
            </w:r>
          </w:p>
        </w:tc>
        <w:tc>
          <w:tcPr>
            <w:tcW w:w="3011" w:type="dxa"/>
          </w:tcPr>
          <w:p w14:paraId="6E4AC741"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30/oct/2026</w:t>
            </w:r>
          </w:p>
        </w:tc>
        <w:tc>
          <w:tcPr>
            <w:tcW w:w="2150" w:type="dxa"/>
          </w:tcPr>
          <w:p w14:paraId="45CB0153"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2022-000188</w:t>
            </w:r>
          </w:p>
        </w:tc>
      </w:tr>
      <w:tr w:rsidR="00D55D0B" w:rsidRPr="00BC3053" w14:paraId="48B0E81E" w14:textId="77777777" w:rsidTr="001561A0">
        <w:tc>
          <w:tcPr>
            <w:tcW w:w="1539" w:type="dxa"/>
          </w:tcPr>
          <w:p w14:paraId="1D3148C7"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Guánica</w:t>
            </w:r>
          </w:p>
        </w:tc>
        <w:tc>
          <w:tcPr>
            <w:tcW w:w="2295" w:type="dxa"/>
          </w:tcPr>
          <w:p w14:paraId="06C1C54D"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01/</w:t>
            </w:r>
            <w:proofErr w:type="spellStart"/>
            <w:r w:rsidRPr="00BC3053">
              <w:rPr>
                <w:rFonts w:ascii="Century Gothic" w:hAnsi="Century Gothic"/>
                <w:sz w:val="24"/>
                <w:szCs w:val="24"/>
              </w:rPr>
              <w:t>dic</w:t>
            </w:r>
            <w:proofErr w:type="spellEnd"/>
            <w:r w:rsidRPr="00BC3053">
              <w:rPr>
                <w:rFonts w:ascii="Century Gothic" w:hAnsi="Century Gothic"/>
                <w:sz w:val="24"/>
                <w:szCs w:val="24"/>
              </w:rPr>
              <w:t>/2021</w:t>
            </w:r>
          </w:p>
        </w:tc>
        <w:tc>
          <w:tcPr>
            <w:tcW w:w="3011" w:type="dxa"/>
          </w:tcPr>
          <w:p w14:paraId="52BAC7A1"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30/</w:t>
            </w:r>
            <w:proofErr w:type="spellStart"/>
            <w:r w:rsidRPr="00BC3053">
              <w:rPr>
                <w:rFonts w:ascii="Century Gothic" w:hAnsi="Century Gothic"/>
                <w:sz w:val="24"/>
                <w:szCs w:val="24"/>
              </w:rPr>
              <w:t>nov</w:t>
            </w:r>
            <w:proofErr w:type="spellEnd"/>
            <w:r w:rsidRPr="00BC3053">
              <w:rPr>
                <w:rFonts w:ascii="Century Gothic" w:hAnsi="Century Gothic"/>
                <w:sz w:val="24"/>
                <w:szCs w:val="24"/>
              </w:rPr>
              <w:t>/2026</w:t>
            </w:r>
          </w:p>
        </w:tc>
        <w:tc>
          <w:tcPr>
            <w:tcW w:w="2150" w:type="dxa"/>
          </w:tcPr>
          <w:p w14:paraId="62894F37"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2022-000072</w:t>
            </w:r>
          </w:p>
        </w:tc>
      </w:tr>
      <w:tr w:rsidR="00D55D0B" w:rsidRPr="00BC3053" w14:paraId="3EE621FD" w14:textId="77777777" w:rsidTr="001561A0">
        <w:tc>
          <w:tcPr>
            <w:tcW w:w="1539" w:type="dxa"/>
          </w:tcPr>
          <w:p w14:paraId="45C59965"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Caguas</w:t>
            </w:r>
          </w:p>
        </w:tc>
        <w:tc>
          <w:tcPr>
            <w:tcW w:w="2295" w:type="dxa"/>
          </w:tcPr>
          <w:p w14:paraId="489A9101"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20/may/2021</w:t>
            </w:r>
          </w:p>
        </w:tc>
        <w:tc>
          <w:tcPr>
            <w:tcW w:w="3011" w:type="dxa"/>
          </w:tcPr>
          <w:p w14:paraId="6CB9C0FB"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20/may/2025</w:t>
            </w:r>
          </w:p>
        </w:tc>
        <w:tc>
          <w:tcPr>
            <w:tcW w:w="2150" w:type="dxa"/>
          </w:tcPr>
          <w:p w14:paraId="2D2D536C"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2021-003174</w:t>
            </w:r>
          </w:p>
        </w:tc>
      </w:tr>
      <w:tr w:rsidR="00D55D0B" w:rsidRPr="00BC3053" w14:paraId="78954841" w14:textId="77777777" w:rsidTr="001561A0">
        <w:tc>
          <w:tcPr>
            <w:tcW w:w="1539" w:type="dxa"/>
          </w:tcPr>
          <w:p w14:paraId="1DB2B2E4"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Río Grande</w:t>
            </w:r>
          </w:p>
        </w:tc>
        <w:tc>
          <w:tcPr>
            <w:tcW w:w="2295" w:type="dxa"/>
          </w:tcPr>
          <w:p w14:paraId="6B858F58"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01/ago/2020</w:t>
            </w:r>
          </w:p>
        </w:tc>
        <w:tc>
          <w:tcPr>
            <w:tcW w:w="3011" w:type="dxa"/>
          </w:tcPr>
          <w:p w14:paraId="7DD91DD9"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31/</w:t>
            </w:r>
            <w:proofErr w:type="spellStart"/>
            <w:r w:rsidRPr="00BC3053">
              <w:rPr>
                <w:rFonts w:ascii="Century Gothic" w:hAnsi="Century Gothic"/>
                <w:sz w:val="24"/>
                <w:szCs w:val="24"/>
              </w:rPr>
              <w:t>jul</w:t>
            </w:r>
            <w:proofErr w:type="spellEnd"/>
            <w:r w:rsidRPr="00BC3053">
              <w:rPr>
                <w:rFonts w:ascii="Century Gothic" w:hAnsi="Century Gothic"/>
                <w:sz w:val="24"/>
                <w:szCs w:val="24"/>
              </w:rPr>
              <w:t>/2025</w:t>
            </w:r>
          </w:p>
        </w:tc>
        <w:tc>
          <w:tcPr>
            <w:tcW w:w="2150" w:type="dxa"/>
          </w:tcPr>
          <w:p w14:paraId="0D5B09D7"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2021-000022</w:t>
            </w:r>
          </w:p>
        </w:tc>
      </w:tr>
      <w:tr w:rsidR="00D55D0B" w:rsidRPr="00BC3053" w14:paraId="4E465187" w14:textId="77777777" w:rsidTr="001561A0">
        <w:tc>
          <w:tcPr>
            <w:tcW w:w="1539" w:type="dxa"/>
          </w:tcPr>
          <w:p w14:paraId="1201ECF0"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Luquillo</w:t>
            </w:r>
          </w:p>
        </w:tc>
        <w:tc>
          <w:tcPr>
            <w:tcW w:w="2295" w:type="dxa"/>
          </w:tcPr>
          <w:p w14:paraId="6EEB6875"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01/</w:t>
            </w:r>
            <w:proofErr w:type="spellStart"/>
            <w:r w:rsidRPr="00BC3053">
              <w:rPr>
                <w:rFonts w:ascii="Century Gothic" w:hAnsi="Century Gothic" w:cs="Segoe UI"/>
                <w:color w:val="212529"/>
                <w:sz w:val="24"/>
                <w:szCs w:val="24"/>
              </w:rPr>
              <w:t>jul</w:t>
            </w:r>
            <w:proofErr w:type="spellEnd"/>
            <w:r w:rsidRPr="00BC3053">
              <w:rPr>
                <w:rFonts w:ascii="Century Gothic" w:hAnsi="Century Gothic" w:cs="Segoe UI"/>
                <w:color w:val="212529"/>
                <w:sz w:val="24"/>
                <w:szCs w:val="24"/>
              </w:rPr>
              <w:t>/2020</w:t>
            </w:r>
          </w:p>
        </w:tc>
        <w:tc>
          <w:tcPr>
            <w:tcW w:w="3011" w:type="dxa"/>
          </w:tcPr>
          <w:p w14:paraId="58135653"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30/</w:t>
            </w:r>
            <w:proofErr w:type="spellStart"/>
            <w:r w:rsidRPr="00BC3053">
              <w:rPr>
                <w:rFonts w:ascii="Century Gothic" w:hAnsi="Century Gothic"/>
                <w:sz w:val="24"/>
                <w:szCs w:val="24"/>
              </w:rPr>
              <w:t>jun</w:t>
            </w:r>
            <w:proofErr w:type="spellEnd"/>
            <w:r w:rsidRPr="00BC3053">
              <w:rPr>
                <w:rFonts w:ascii="Century Gothic" w:hAnsi="Century Gothic"/>
                <w:sz w:val="24"/>
                <w:szCs w:val="24"/>
              </w:rPr>
              <w:t>/2025</w:t>
            </w:r>
          </w:p>
        </w:tc>
        <w:tc>
          <w:tcPr>
            <w:tcW w:w="2150" w:type="dxa"/>
          </w:tcPr>
          <w:p w14:paraId="78E397DF"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2021-000010</w:t>
            </w:r>
          </w:p>
        </w:tc>
      </w:tr>
      <w:tr w:rsidR="00D55D0B" w:rsidRPr="00BC3053" w14:paraId="3E7D5351" w14:textId="77777777" w:rsidTr="001561A0">
        <w:tc>
          <w:tcPr>
            <w:tcW w:w="1539" w:type="dxa"/>
          </w:tcPr>
          <w:p w14:paraId="7AB28A45"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Guayama</w:t>
            </w:r>
          </w:p>
        </w:tc>
        <w:tc>
          <w:tcPr>
            <w:tcW w:w="2295" w:type="dxa"/>
          </w:tcPr>
          <w:p w14:paraId="2E6F7E4A"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color w:val="212529"/>
                <w:sz w:val="24"/>
                <w:szCs w:val="24"/>
              </w:rPr>
              <w:t>04/</w:t>
            </w:r>
            <w:proofErr w:type="spellStart"/>
            <w:r w:rsidRPr="00BC3053">
              <w:rPr>
                <w:rFonts w:ascii="Century Gothic" w:hAnsi="Century Gothic" w:cs="Segoe UI"/>
                <w:color w:val="212529"/>
                <w:sz w:val="24"/>
                <w:szCs w:val="24"/>
              </w:rPr>
              <w:t>sep</w:t>
            </w:r>
            <w:proofErr w:type="spellEnd"/>
            <w:r w:rsidRPr="00BC3053">
              <w:rPr>
                <w:rFonts w:ascii="Century Gothic" w:hAnsi="Century Gothic" w:cs="Segoe UI"/>
                <w:color w:val="212529"/>
                <w:sz w:val="24"/>
                <w:szCs w:val="24"/>
              </w:rPr>
              <w:t>/2019</w:t>
            </w:r>
          </w:p>
        </w:tc>
        <w:tc>
          <w:tcPr>
            <w:tcW w:w="3011" w:type="dxa"/>
          </w:tcPr>
          <w:p w14:paraId="064CB53A"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4/</w:t>
            </w:r>
            <w:proofErr w:type="spellStart"/>
            <w:r w:rsidRPr="00BC3053">
              <w:rPr>
                <w:rFonts w:ascii="Century Gothic" w:hAnsi="Century Gothic"/>
                <w:sz w:val="24"/>
                <w:szCs w:val="24"/>
              </w:rPr>
              <w:t>sep</w:t>
            </w:r>
            <w:proofErr w:type="spellEnd"/>
            <w:r w:rsidRPr="00BC3053">
              <w:rPr>
                <w:rFonts w:ascii="Century Gothic" w:hAnsi="Century Gothic"/>
                <w:sz w:val="24"/>
                <w:szCs w:val="24"/>
              </w:rPr>
              <w:t>/2024</w:t>
            </w:r>
          </w:p>
        </w:tc>
        <w:tc>
          <w:tcPr>
            <w:tcW w:w="2150" w:type="dxa"/>
          </w:tcPr>
          <w:p w14:paraId="47D12B77"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2020-000166</w:t>
            </w:r>
          </w:p>
        </w:tc>
      </w:tr>
      <w:tr w:rsidR="00D55D0B" w:rsidRPr="00BC3053" w14:paraId="2AE4BF1F" w14:textId="77777777" w:rsidTr="001561A0">
        <w:tc>
          <w:tcPr>
            <w:tcW w:w="1539" w:type="dxa"/>
          </w:tcPr>
          <w:p w14:paraId="68F21128"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Dorado</w:t>
            </w:r>
          </w:p>
        </w:tc>
        <w:tc>
          <w:tcPr>
            <w:tcW w:w="2295" w:type="dxa"/>
          </w:tcPr>
          <w:p w14:paraId="2989175B"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color w:val="212529"/>
                <w:sz w:val="24"/>
                <w:szCs w:val="24"/>
              </w:rPr>
              <w:t>01/</w:t>
            </w:r>
            <w:proofErr w:type="spellStart"/>
            <w:r w:rsidRPr="00BC3053">
              <w:rPr>
                <w:rFonts w:ascii="Century Gothic" w:hAnsi="Century Gothic" w:cs="Segoe UI"/>
                <w:color w:val="212529"/>
                <w:sz w:val="24"/>
                <w:szCs w:val="24"/>
              </w:rPr>
              <w:t>jul</w:t>
            </w:r>
            <w:proofErr w:type="spellEnd"/>
            <w:r w:rsidRPr="00BC3053">
              <w:rPr>
                <w:rFonts w:ascii="Century Gothic" w:hAnsi="Century Gothic" w:cs="Segoe UI"/>
                <w:color w:val="212529"/>
                <w:sz w:val="24"/>
                <w:szCs w:val="24"/>
              </w:rPr>
              <w:t>/2019</w:t>
            </w:r>
          </w:p>
        </w:tc>
        <w:tc>
          <w:tcPr>
            <w:tcW w:w="3011" w:type="dxa"/>
          </w:tcPr>
          <w:p w14:paraId="0B51C026"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30/</w:t>
            </w:r>
            <w:proofErr w:type="spellStart"/>
            <w:r w:rsidRPr="00BC3053">
              <w:rPr>
                <w:rFonts w:ascii="Century Gothic" w:hAnsi="Century Gothic"/>
                <w:sz w:val="24"/>
                <w:szCs w:val="24"/>
              </w:rPr>
              <w:t>jun</w:t>
            </w:r>
            <w:proofErr w:type="spellEnd"/>
            <w:r w:rsidRPr="00BC3053">
              <w:rPr>
                <w:rFonts w:ascii="Century Gothic" w:hAnsi="Century Gothic"/>
                <w:sz w:val="24"/>
                <w:szCs w:val="24"/>
              </w:rPr>
              <w:t>/2024</w:t>
            </w:r>
          </w:p>
        </w:tc>
        <w:tc>
          <w:tcPr>
            <w:tcW w:w="2150" w:type="dxa"/>
          </w:tcPr>
          <w:p w14:paraId="5A452D39"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2020-000098</w:t>
            </w:r>
          </w:p>
        </w:tc>
      </w:tr>
      <w:tr w:rsidR="00D55D0B" w:rsidRPr="00BC3053" w14:paraId="5FDDBCA6" w14:textId="77777777" w:rsidTr="001561A0">
        <w:tc>
          <w:tcPr>
            <w:tcW w:w="1539" w:type="dxa"/>
          </w:tcPr>
          <w:p w14:paraId="2484D2D1"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Ponce</w:t>
            </w:r>
          </w:p>
        </w:tc>
        <w:tc>
          <w:tcPr>
            <w:tcW w:w="2295" w:type="dxa"/>
          </w:tcPr>
          <w:p w14:paraId="16986B81"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color w:val="212529"/>
                <w:sz w:val="24"/>
                <w:szCs w:val="24"/>
              </w:rPr>
              <w:t>21/</w:t>
            </w:r>
            <w:proofErr w:type="spellStart"/>
            <w:r w:rsidRPr="00BC3053">
              <w:rPr>
                <w:rFonts w:ascii="Century Gothic" w:hAnsi="Century Gothic" w:cs="Segoe UI"/>
                <w:color w:val="212529"/>
                <w:sz w:val="24"/>
                <w:szCs w:val="24"/>
              </w:rPr>
              <w:t>jun</w:t>
            </w:r>
            <w:proofErr w:type="spellEnd"/>
            <w:r w:rsidRPr="00BC3053">
              <w:rPr>
                <w:rFonts w:ascii="Century Gothic" w:hAnsi="Century Gothic" w:cs="Segoe UI"/>
                <w:color w:val="212529"/>
                <w:sz w:val="24"/>
                <w:szCs w:val="24"/>
              </w:rPr>
              <w:t>/2019</w:t>
            </w:r>
          </w:p>
        </w:tc>
        <w:tc>
          <w:tcPr>
            <w:tcW w:w="3011" w:type="dxa"/>
          </w:tcPr>
          <w:p w14:paraId="7060E397"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30/</w:t>
            </w:r>
            <w:proofErr w:type="spellStart"/>
            <w:r w:rsidRPr="00BC3053">
              <w:rPr>
                <w:rFonts w:ascii="Century Gothic" w:hAnsi="Century Gothic"/>
                <w:sz w:val="24"/>
                <w:szCs w:val="24"/>
              </w:rPr>
              <w:t>jun</w:t>
            </w:r>
            <w:proofErr w:type="spellEnd"/>
            <w:r w:rsidRPr="00BC3053">
              <w:rPr>
                <w:rFonts w:ascii="Century Gothic" w:hAnsi="Century Gothic"/>
                <w:sz w:val="24"/>
                <w:szCs w:val="24"/>
              </w:rPr>
              <w:t>/2024</w:t>
            </w:r>
          </w:p>
        </w:tc>
        <w:tc>
          <w:tcPr>
            <w:tcW w:w="2150" w:type="dxa"/>
          </w:tcPr>
          <w:p w14:paraId="50080CBE"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2019-000685</w:t>
            </w:r>
          </w:p>
        </w:tc>
      </w:tr>
      <w:tr w:rsidR="00D55D0B" w:rsidRPr="00BC3053" w14:paraId="6AB73A63" w14:textId="77777777" w:rsidTr="001561A0">
        <w:tc>
          <w:tcPr>
            <w:tcW w:w="1539" w:type="dxa"/>
          </w:tcPr>
          <w:p w14:paraId="589B0E29"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San Germán</w:t>
            </w:r>
          </w:p>
        </w:tc>
        <w:tc>
          <w:tcPr>
            <w:tcW w:w="2295" w:type="dxa"/>
          </w:tcPr>
          <w:p w14:paraId="4F7B1D46"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28/</w:t>
            </w:r>
            <w:proofErr w:type="spellStart"/>
            <w:r w:rsidRPr="00BC3053">
              <w:rPr>
                <w:rFonts w:ascii="Century Gothic" w:hAnsi="Century Gothic"/>
                <w:sz w:val="24"/>
                <w:szCs w:val="24"/>
              </w:rPr>
              <w:t>feb</w:t>
            </w:r>
            <w:proofErr w:type="spellEnd"/>
            <w:r w:rsidRPr="00BC3053">
              <w:rPr>
                <w:rFonts w:ascii="Century Gothic" w:hAnsi="Century Gothic"/>
                <w:sz w:val="24"/>
                <w:szCs w:val="24"/>
              </w:rPr>
              <w:t>/2019</w:t>
            </w:r>
          </w:p>
        </w:tc>
        <w:tc>
          <w:tcPr>
            <w:tcW w:w="3011" w:type="dxa"/>
          </w:tcPr>
          <w:p w14:paraId="411EF33A"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30/</w:t>
            </w:r>
            <w:proofErr w:type="spellStart"/>
            <w:r w:rsidRPr="00BC3053">
              <w:rPr>
                <w:rFonts w:ascii="Century Gothic" w:hAnsi="Century Gothic"/>
                <w:sz w:val="24"/>
                <w:szCs w:val="24"/>
              </w:rPr>
              <w:t>jun</w:t>
            </w:r>
            <w:proofErr w:type="spellEnd"/>
            <w:r w:rsidRPr="00BC3053">
              <w:rPr>
                <w:rFonts w:ascii="Century Gothic" w:hAnsi="Century Gothic"/>
                <w:sz w:val="24"/>
                <w:szCs w:val="24"/>
              </w:rPr>
              <w:t>/2024</w:t>
            </w:r>
          </w:p>
        </w:tc>
        <w:tc>
          <w:tcPr>
            <w:tcW w:w="2150" w:type="dxa"/>
          </w:tcPr>
          <w:p w14:paraId="5B65C804"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2019-000412</w:t>
            </w:r>
          </w:p>
        </w:tc>
      </w:tr>
      <w:tr w:rsidR="00D55D0B" w:rsidRPr="00BC3053" w14:paraId="16ABC39D" w14:textId="77777777" w:rsidTr="001561A0">
        <w:tc>
          <w:tcPr>
            <w:tcW w:w="1539" w:type="dxa"/>
          </w:tcPr>
          <w:p w14:paraId="1247C840" w14:textId="77777777" w:rsidR="00D55D0B" w:rsidRPr="00BC3053" w:rsidRDefault="00D55D0B" w:rsidP="001561A0">
            <w:pPr>
              <w:pStyle w:val="ListParagraph"/>
              <w:numPr>
                <w:ilvl w:val="0"/>
                <w:numId w:val="1"/>
              </w:numPr>
              <w:rPr>
                <w:rFonts w:ascii="Century Gothic" w:hAnsi="Century Gothic"/>
                <w:sz w:val="24"/>
                <w:szCs w:val="24"/>
              </w:rPr>
            </w:pPr>
            <w:proofErr w:type="spellStart"/>
            <w:r w:rsidRPr="00BC3053">
              <w:rPr>
                <w:rFonts w:ascii="Century Gothic" w:hAnsi="Century Gothic"/>
                <w:sz w:val="24"/>
                <w:szCs w:val="24"/>
              </w:rPr>
              <w:t>Aibonito</w:t>
            </w:r>
            <w:proofErr w:type="spellEnd"/>
          </w:p>
        </w:tc>
        <w:tc>
          <w:tcPr>
            <w:tcW w:w="2295" w:type="dxa"/>
          </w:tcPr>
          <w:p w14:paraId="66DA0262"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18/</w:t>
            </w:r>
            <w:proofErr w:type="spellStart"/>
            <w:r w:rsidRPr="00BC3053">
              <w:rPr>
                <w:rFonts w:ascii="Century Gothic" w:hAnsi="Century Gothic"/>
                <w:sz w:val="24"/>
                <w:szCs w:val="24"/>
              </w:rPr>
              <w:t>ene</w:t>
            </w:r>
            <w:proofErr w:type="spellEnd"/>
            <w:r w:rsidRPr="00BC3053">
              <w:rPr>
                <w:rFonts w:ascii="Century Gothic" w:hAnsi="Century Gothic"/>
                <w:sz w:val="24"/>
                <w:szCs w:val="24"/>
              </w:rPr>
              <w:t>/2019</w:t>
            </w:r>
          </w:p>
        </w:tc>
        <w:tc>
          <w:tcPr>
            <w:tcW w:w="3011" w:type="dxa"/>
          </w:tcPr>
          <w:p w14:paraId="549A6036"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18/</w:t>
            </w:r>
            <w:proofErr w:type="spellStart"/>
            <w:r w:rsidRPr="00BC3053">
              <w:rPr>
                <w:rFonts w:ascii="Century Gothic" w:hAnsi="Century Gothic"/>
                <w:sz w:val="24"/>
                <w:szCs w:val="24"/>
              </w:rPr>
              <w:t>ene</w:t>
            </w:r>
            <w:proofErr w:type="spellEnd"/>
            <w:r w:rsidRPr="00BC3053">
              <w:rPr>
                <w:rFonts w:ascii="Century Gothic" w:hAnsi="Century Gothic"/>
                <w:sz w:val="24"/>
                <w:szCs w:val="24"/>
              </w:rPr>
              <w:t>/2024</w:t>
            </w:r>
          </w:p>
        </w:tc>
        <w:tc>
          <w:tcPr>
            <w:tcW w:w="2150" w:type="dxa"/>
          </w:tcPr>
          <w:p w14:paraId="4169E610"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2019-000185</w:t>
            </w:r>
          </w:p>
        </w:tc>
      </w:tr>
      <w:tr w:rsidR="00D55D0B" w:rsidRPr="00BC3053" w14:paraId="4E70B6E3" w14:textId="77777777" w:rsidTr="001561A0">
        <w:tc>
          <w:tcPr>
            <w:tcW w:w="1539" w:type="dxa"/>
          </w:tcPr>
          <w:p w14:paraId="567C22AB"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Las Piedras</w:t>
            </w:r>
          </w:p>
        </w:tc>
        <w:tc>
          <w:tcPr>
            <w:tcW w:w="2295" w:type="dxa"/>
          </w:tcPr>
          <w:p w14:paraId="734AE2A5"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04/</w:t>
            </w:r>
            <w:proofErr w:type="spellStart"/>
            <w:r w:rsidRPr="00BC3053">
              <w:rPr>
                <w:rFonts w:ascii="Century Gothic" w:hAnsi="Century Gothic"/>
                <w:sz w:val="24"/>
                <w:szCs w:val="24"/>
              </w:rPr>
              <w:t>abr</w:t>
            </w:r>
            <w:proofErr w:type="spellEnd"/>
            <w:r w:rsidRPr="00BC3053">
              <w:rPr>
                <w:rFonts w:ascii="Century Gothic" w:hAnsi="Century Gothic"/>
                <w:sz w:val="24"/>
                <w:szCs w:val="24"/>
              </w:rPr>
              <w:t>/2019</w:t>
            </w:r>
          </w:p>
        </w:tc>
        <w:tc>
          <w:tcPr>
            <w:tcW w:w="3011" w:type="dxa"/>
          </w:tcPr>
          <w:p w14:paraId="1AE5BCB2"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03/</w:t>
            </w:r>
            <w:proofErr w:type="spellStart"/>
            <w:r w:rsidRPr="00BC3053">
              <w:rPr>
                <w:rFonts w:ascii="Century Gothic" w:hAnsi="Century Gothic"/>
                <w:sz w:val="24"/>
                <w:szCs w:val="24"/>
              </w:rPr>
              <w:t>abr</w:t>
            </w:r>
            <w:proofErr w:type="spellEnd"/>
            <w:r w:rsidRPr="00BC3053">
              <w:rPr>
                <w:rFonts w:ascii="Century Gothic" w:hAnsi="Century Gothic"/>
                <w:sz w:val="24"/>
                <w:szCs w:val="24"/>
              </w:rPr>
              <w:t>/2024</w:t>
            </w:r>
          </w:p>
        </w:tc>
        <w:tc>
          <w:tcPr>
            <w:tcW w:w="2150" w:type="dxa"/>
          </w:tcPr>
          <w:p w14:paraId="7A84A9BD"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2019-000123</w:t>
            </w:r>
          </w:p>
        </w:tc>
      </w:tr>
      <w:tr w:rsidR="00D55D0B" w:rsidRPr="00BC3053" w14:paraId="3802C18F" w14:textId="77777777" w:rsidTr="001561A0">
        <w:tc>
          <w:tcPr>
            <w:tcW w:w="1539" w:type="dxa"/>
          </w:tcPr>
          <w:p w14:paraId="55250CCA"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Santa Isabel</w:t>
            </w:r>
          </w:p>
        </w:tc>
        <w:tc>
          <w:tcPr>
            <w:tcW w:w="2295" w:type="dxa"/>
          </w:tcPr>
          <w:p w14:paraId="0968718F"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05/</w:t>
            </w:r>
            <w:proofErr w:type="spellStart"/>
            <w:r w:rsidRPr="00BC3053">
              <w:rPr>
                <w:rFonts w:ascii="Century Gothic" w:hAnsi="Century Gothic"/>
                <w:sz w:val="24"/>
                <w:szCs w:val="24"/>
              </w:rPr>
              <w:t>sep</w:t>
            </w:r>
            <w:proofErr w:type="spellEnd"/>
            <w:r w:rsidRPr="00BC3053">
              <w:rPr>
                <w:rFonts w:ascii="Century Gothic" w:hAnsi="Century Gothic"/>
                <w:sz w:val="24"/>
                <w:szCs w:val="24"/>
              </w:rPr>
              <w:t>/2018</w:t>
            </w:r>
          </w:p>
        </w:tc>
        <w:tc>
          <w:tcPr>
            <w:tcW w:w="3011" w:type="dxa"/>
          </w:tcPr>
          <w:p w14:paraId="06D93C11"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04/sept/2023</w:t>
            </w:r>
          </w:p>
        </w:tc>
        <w:tc>
          <w:tcPr>
            <w:tcW w:w="2150" w:type="dxa"/>
          </w:tcPr>
          <w:p w14:paraId="56E205BB"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2019-000123</w:t>
            </w:r>
          </w:p>
        </w:tc>
      </w:tr>
      <w:tr w:rsidR="00D55D0B" w:rsidRPr="00BC3053" w14:paraId="77B98F59" w14:textId="77777777" w:rsidTr="001561A0">
        <w:tc>
          <w:tcPr>
            <w:tcW w:w="1539" w:type="dxa"/>
          </w:tcPr>
          <w:p w14:paraId="5CC850A2" w14:textId="77777777" w:rsidR="00D55D0B" w:rsidRPr="00BC3053" w:rsidRDefault="00D55D0B" w:rsidP="001561A0">
            <w:pPr>
              <w:pStyle w:val="ListParagraph"/>
              <w:numPr>
                <w:ilvl w:val="0"/>
                <w:numId w:val="1"/>
              </w:numPr>
              <w:rPr>
                <w:rFonts w:ascii="Century Gothic" w:hAnsi="Century Gothic"/>
                <w:sz w:val="24"/>
                <w:szCs w:val="24"/>
              </w:rPr>
            </w:pPr>
            <w:proofErr w:type="spellStart"/>
            <w:r w:rsidRPr="00BC3053">
              <w:rPr>
                <w:rFonts w:ascii="Century Gothic" w:hAnsi="Century Gothic"/>
                <w:sz w:val="24"/>
                <w:szCs w:val="24"/>
              </w:rPr>
              <w:t>Loíza</w:t>
            </w:r>
            <w:proofErr w:type="spellEnd"/>
          </w:p>
        </w:tc>
        <w:tc>
          <w:tcPr>
            <w:tcW w:w="2295" w:type="dxa"/>
          </w:tcPr>
          <w:p w14:paraId="0BCA2DD9"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07/</w:t>
            </w:r>
            <w:proofErr w:type="spellStart"/>
            <w:r w:rsidRPr="00BC3053">
              <w:rPr>
                <w:rFonts w:ascii="Century Gothic" w:hAnsi="Century Gothic"/>
                <w:sz w:val="24"/>
                <w:szCs w:val="24"/>
              </w:rPr>
              <w:t>sep</w:t>
            </w:r>
            <w:proofErr w:type="spellEnd"/>
            <w:r w:rsidRPr="00BC3053">
              <w:rPr>
                <w:rFonts w:ascii="Century Gothic" w:hAnsi="Century Gothic"/>
                <w:sz w:val="24"/>
                <w:szCs w:val="24"/>
              </w:rPr>
              <w:t>/2018</w:t>
            </w:r>
          </w:p>
        </w:tc>
        <w:tc>
          <w:tcPr>
            <w:tcW w:w="3011" w:type="dxa"/>
          </w:tcPr>
          <w:p w14:paraId="664D8CE3"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color w:val="212529"/>
                <w:sz w:val="24"/>
                <w:szCs w:val="24"/>
              </w:rPr>
              <w:t>30/ago/2023</w:t>
            </w:r>
          </w:p>
        </w:tc>
        <w:tc>
          <w:tcPr>
            <w:tcW w:w="2150" w:type="dxa"/>
          </w:tcPr>
          <w:p w14:paraId="4822BD00"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sz w:val="24"/>
                <w:szCs w:val="24"/>
              </w:rPr>
              <w:t>2019-000061</w:t>
            </w:r>
          </w:p>
        </w:tc>
      </w:tr>
      <w:tr w:rsidR="00D55D0B" w:rsidRPr="00BC3053" w14:paraId="3353EFA1" w14:textId="77777777" w:rsidTr="001561A0">
        <w:tc>
          <w:tcPr>
            <w:tcW w:w="1539" w:type="dxa"/>
          </w:tcPr>
          <w:p w14:paraId="24BD4E2F" w14:textId="77777777" w:rsidR="00D55D0B" w:rsidRPr="00BC3053" w:rsidRDefault="00D55D0B" w:rsidP="001561A0">
            <w:pPr>
              <w:pStyle w:val="ListParagraph"/>
              <w:numPr>
                <w:ilvl w:val="0"/>
                <w:numId w:val="1"/>
              </w:numPr>
              <w:rPr>
                <w:rFonts w:ascii="Century Gothic" w:hAnsi="Century Gothic"/>
                <w:sz w:val="24"/>
                <w:szCs w:val="24"/>
              </w:rPr>
            </w:pPr>
            <w:proofErr w:type="spellStart"/>
            <w:r w:rsidRPr="00BC3053">
              <w:rPr>
                <w:rFonts w:ascii="Century Gothic" w:hAnsi="Century Gothic"/>
                <w:sz w:val="24"/>
                <w:szCs w:val="24"/>
              </w:rPr>
              <w:t>Guayanilla</w:t>
            </w:r>
            <w:proofErr w:type="spellEnd"/>
          </w:p>
        </w:tc>
        <w:tc>
          <w:tcPr>
            <w:tcW w:w="2295" w:type="dxa"/>
          </w:tcPr>
          <w:p w14:paraId="0D6D1680"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01/mar/2018</w:t>
            </w:r>
          </w:p>
        </w:tc>
        <w:tc>
          <w:tcPr>
            <w:tcW w:w="3011" w:type="dxa"/>
          </w:tcPr>
          <w:p w14:paraId="2D04F389"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28/</w:t>
            </w:r>
            <w:proofErr w:type="spellStart"/>
            <w:r w:rsidRPr="00BC3053">
              <w:rPr>
                <w:rFonts w:ascii="Century Gothic" w:hAnsi="Century Gothic"/>
                <w:sz w:val="24"/>
                <w:szCs w:val="24"/>
              </w:rPr>
              <w:t>feb</w:t>
            </w:r>
            <w:proofErr w:type="spellEnd"/>
            <w:r w:rsidRPr="00BC3053">
              <w:rPr>
                <w:rFonts w:ascii="Century Gothic" w:hAnsi="Century Gothic"/>
                <w:sz w:val="24"/>
                <w:szCs w:val="24"/>
              </w:rPr>
              <w:t>/2023</w:t>
            </w:r>
          </w:p>
        </w:tc>
        <w:tc>
          <w:tcPr>
            <w:tcW w:w="2150" w:type="dxa"/>
          </w:tcPr>
          <w:p w14:paraId="31FF89BD"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2018-000272</w:t>
            </w:r>
          </w:p>
        </w:tc>
      </w:tr>
      <w:tr w:rsidR="00D55D0B" w:rsidRPr="00BC3053" w14:paraId="1A6FFFD9" w14:textId="77777777" w:rsidTr="001561A0">
        <w:tc>
          <w:tcPr>
            <w:tcW w:w="1539" w:type="dxa"/>
          </w:tcPr>
          <w:p w14:paraId="361CB068"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Toa Alta</w:t>
            </w:r>
          </w:p>
        </w:tc>
        <w:tc>
          <w:tcPr>
            <w:tcW w:w="2295" w:type="dxa"/>
          </w:tcPr>
          <w:p w14:paraId="05A8531C"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color w:val="212529"/>
                <w:sz w:val="24"/>
                <w:szCs w:val="24"/>
              </w:rPr>
              <w:t>16/</w:t>
            </w:r>
            <w:proofErr w:type="spellStart"/>
            <w:r w:rsidRPr="00BC3053">
              <w:rPr>
                <w:rFonts w:ascii="Century Gothic" w:hAnsi="Century Gothic" w:cs="Segoe UI"/>
                <w:color w:val="212529"/>
                <w:sz w:val="24"/>
                <w:szCs w:val="24"/>
              </w:rPr>
              <w:t>abr</w:t>
            </w:r>
            <w:proofErr w:type="spellEnd"/>
            <w:r w:rsidRPr="00BC3053">
              <w:rPr>
                <w:rFonts w:ascii="Century Gothic" w:hAnsi="Century Gothic" w:cs="Segoe UI"/>
                <w:color w:val="212529"/>
                <w:sz w:val="24"/>
                <w:szCs w:val="24"/>
              </w:rPr>
              <w:t>/2018</w:t>
            </w:r>
          </w:p>
        </w:tc>
        <w:tc>
          <w:tcPr>
            <w:tcW w:w="3011" w:type="dxa"/>
          </w:tcPr>
          <w:p w14:paraId="25891E08"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color w:val="212529"/>
                <w:sz w:val="24"/>
                <w:szCs w:val="24"/>
              </w:rPr>
              <w:t>16/</w:t>
            </w:r>
            <w:proofErr w:type="spellStart"/>
            <w:r w:rsidRPr="00BC3053">
              <w:rPr>
                <w:rFonts w:ascii="Century Gothic" w:hAnsi="Century Gothic" w:cs="Segoe UI"/>
                <w:color w:val="212529"/>
                <w:sz w:val="24"/>
                <w:szCs w:val="24"/>
              </w:rPr>
              <w:t>abr</w:t>
            </w:r>
            <w:proofErr w:type="spellEnd"/>
            <w:r w:rsidRPr="00BC3053">
              <w:rPr>
                <w:rFonts w:ascii="Century Gothic" w:hAnsi="Century Gothic" w:cs="Segoe UI"/>
                <w:color w:val="212529"/>
                <w:sz w:val="24"/>
                <w:szCs w:val="24"/>
              </w:rPr>
              <w:t>/2023</w:t>
            </w:r>
          </w:p>
        </w:tc>
        <w:tc>
          <w:tcPr>
            <w:tcW w:w="2150" w:type="dxa"/>
          </w:tcPr>
          <w:p w14:paraId="1851EFFA"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sz w:val="24"/>
                <w:szCs w:val="24"/>
              </w:rPr>
              <w:t>2018-000249</w:t>
            </w:r>
          </w:p>
        </w:tc>
      </w:tr>
      <w:tr w:rsidR="00D55D0B" w:rsidRPr="00BC3053" w14:paraId="284A272F" w14:textId="77777777" w:rsidTr="001561A0">
        <w:tc>
          <w:tcPr>
            <w:tcW w:w="1539" w:type="dxa"/>
          </w:tcPr>
          <w:p w14:paraId="55B6D9E2" w14:textId="77777777" w:rsidR="00D55D0B" w:rsidRPr="00BC3053" w:rsidRDefault="00D55D0B" w:rsidP="001561A0">
            <w:pPr>
              <w:pStyle w:val="ListParagraph"/>
              <w:numPr>
                <w:ilvl w:val="0"/>
                <w:numId w:val="1"/>
              </w:numPr>
              <w:rPr>
                <w:rFonts w:ascii="Century Gothic" w:hAnsi="Century Gothic"/>
                <w:sz w:val="24"/>
                <w:szCs w:val="24"/>
              </w:rPr>
            </w:pPr>
            <w:proofErr w:type="spellStart"/>
            <w:r w:rsidRPr="00BC3053">
              <w:rPr>
                <w:rFonts w:ascii="Century Gothic" w:hAnsi="Century Gothic"/>
                <w:sz w:val="24"/>
                <w:szCs w:val="24"/>
              </w:rPr>
              <w:t>Patillas</w:t>
            </w:r>
            <w:proofErr w:type="spellEnd"/>
            <w:r w:rsidRPr="00BC3053">
              <w:rPr>
                <w:rFonts w:ascii="Century Gothic" w:hAnsi="Century Gothic"/>
                <w:sz w:val="24"/>
                <w:szCs w:val="24"/>
              </w:rPr>
              <w:t xml:space="preserve"> </w:t>
            </w:r>
          </w:p>
        </w:tc>
        <w:tc>
          <w:tcPr>
            <w:tcW w:w="2295" w:type="dxa"/>
          </w:tcPr>
          <w:p w14:paraId="62D199D4" w14:textId="77777777" w:rsidR="00D55D0B" w:rsidRPr="00BC3053" w:rsidRDefault="00D55D0B" w:rsidP="001561A0">
            <w:pPr>
              <w:jc w:val="center"/>
              <w:rPr>
                <w:rFonts w:ascii="Century Gothic" w:hAnsi="Century Gothic"/>
                <w:sz w:val="24"/>
                <w:szCs w:val="24"/>
              </w:rPr>
            </w:pPr>
            <w:r w:rsidRPr="00BC3053">
              <w:rPr>
                <w:rFonts w:ascii="Century Gothic" w:hAnsi="Century Gothic" w:cs="Segoe UI"/>
                <w:color w:val="212529"/>
                <w:sz w:val="24"/>
                <w:szCs w:val="24"/>
              </w:rPr>
              <w:t>20/</w:t>
            </w:r>
            <w:proofErr w:type="spellStart"/>
            <w:r w:rsidRPr="00BC3053">
              <w:rPr>
                <w:rFonts w:ascii="Century Gothic" w:hAnsi="Century Gothic" w:cs="Segoe UI"/>
                <w:color w:val="212529"/>
                <w:sz w:val="24"/>
                <w:szCs w:val="24"/>
              </w:rPr>
              <w:t>sep</w:t>
            </w:r>
            <w:proofErr w:type="spellEnd"/>
            <w:r w:rsidRPr="00BC3053">
              <w:rPr>
                <w:rFonts w:ascii="Century Gothic" w:hAnsi="Century Gothic" w:cs="Segoe UI"/>
                <w:color w:val="212529"/>
                <w:sz w:val="24"/>
                <w:szCs w:val="24"/>
              </w:rPr>
              <w:t>/2019</w:t>
            </w:r>
          </w:p>
        </w:tc>
        <w:tc>
          <w:tcPr>
            <w:tcW w:w="3011" w:type="dxa"/>
          </w:tcPr>
          <w:p w14:paraId="1E0734FB" w14:textId="77777777" w:rsidR="00D55D0B" w:rsidRPr="00BC3053" w:rsidRDefault="00D55D0B" w:rsidP="001561A0">
            <w:pPr>
              <w:jc w:val="center"/>
              <w:rPr>
                <w:rFonts w:ascii="Century Gothic" w:hAnsi="Century Gothic" w:cs="Segoe UI"/>
                <w:color w:val="212529"/>
                <w:sz w:val="24"/>
                <w:szCs w:val="24"/>
              </w:rPr>
            </w:pPr>
            <w:proofErr w:type="spellStart"/>
            <w:r w:rsidRPr="00BC3053">
              <w:rPr>
                <w:rFonts w:ascii="Century Gothic" w:hAnsi="Century Gothic" w:cs="Segoe UI"/>
                <w:color w:val="212529"/>
                <w:sz w:val="24"/>
                <w:szCs w:val="24"/>
              </w:rPr>
              <w:t>Cancelado</w:t>
            </w:r>
            <w:proofErr w:type="spellEnd"/>
            <w:r w:rsidRPr="00BC3053">
              <w:rPr>
                <w:rFonts w:ascii="Century Gothic" w:hAnsi="Century Gothic" w:cs="Segoe UI"/>
                <w:color w:val="212529"/>
                <w:sz w:val="24"/>
                <w:szCs w:val="24"/>
              </w:rPr>
              <w:t>: 28/ago/2019</w:t>
            </w:r>
          </w:p>
        </w:tc>
        <w:tc>
          <w:tcPr>
            <w:tcW w:w="2150" w:type="dxa"/>
          </w:tcPr>
          <w:p w14:paraId="1588484B"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sz w:val="24"/>
                <w:szCs w:val="24"/>
              </w:rPr>
              <w:t>2019-000108</w:t>
            </w:r>
          </w:p>
        </w:tc>
      </w:tr>
      <w:tr w:rsidR="00D55D0B" w:rsidRPr="00BC3053" w14:paraId="6FF32537" w14:textId="77777777" w:rsidTr="001561A0">
        <w:tc>
          <w:tcPr>
            <w:tcW w:w="1539" w:type="dxa"/>
          </w:tcPr>
          <w:p w14:paraId="3FCE09EB" w14:textId="77777777" w:rsidR="00D55D0B" w:rsidRPr="00BC3053" w:rsidRDefault="00D55D0B" w:rsidP="001561A0">
            <w:pPr>
              <w:pStyle w:val="ListParagraph"/>
              <w:numPr>
                <w:ilvl w:val="0"/>
                <w:numId w:val="1"/>
              </w:numPr>
              <w:rPr>
                <w:rFonts w:ascii="Century Gothic" w:hAnsi="Century Gothic"/>
                <w:sz w:val="24"/>
                <w:szCs w:val="24"/>
              </w:rPr>
            </w:pPr>
            <w:proofErr w:type="spellStart"/>
            <w:r w:rsidRPr="00BC3053">
              <w:rPr>
                <w:rFonts w:ascii="Century Gothic" w:hAnsi="Century Gothic"/>
                <w:sz w:val="24"/>
                <w:szCs w:val="24"/>
              </w:rPr>
              <w:t>Patillas</w:t>
            </w:r>
            <w:proofErr w:type="spellEnd"/>
          </w:p>
        </w:tc>
        <w:tc>
          <w:tcPr>
            <w:tcW w:w="2295" w:type="dxa"/>
          </w:tcPr>
          <w:p w14:paraId="5E5F6006"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15/mar/2019</w:t>
            </w:r>
          </w:p>
        </w:tc>
        <w:tc>
          <w:tcPr>
            <w:tcW w:w="3011" w:type="dxa"/>
          </w:tcPr>
          <w:p w14:paraId="0BF3B65A"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15/mar/2024</w:t>
            </w:r>
          </w:p>
        </w:tc>
        <w:tc>
          <w:tcPr>
            <w:tcW w:w="2150" w:type="dxa"/>
          </w:tcPr>
          <w:p w14:paraId="1FA74AF4"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2020-000072</w:t>
            </w:r>
          </w:p>
        </w:tc>
      </w:tr>
      <w:tr w:rsidR="00D55D0B" w:rsidRPr="00BC3053" w14:paraId="39A5C44F" w14:textId="77777777" w:rsidTr="001561A0">
        <w:tc>
          <w:tcPr>
            <w:tcW w:w="1539" w:type="dxa"/>
          </w:tcPr>
          <w:p w14:paraId="5DE7A01F"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Juncos</w:t>
            </w:r>
          </w:p>
        </w:tc>
        <w:tc>
          <w:tcPr>
            <w:tcW w:w="2295" w:type="dxa"/>
          </w:tcPr>
          <w:p w14:paraId="19F6A9E5"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05/sept/2018</w:t>
            </w:r>
          </w:p>
        </w:tc>
        <w:tc>
          <w:tcPr>
            <w:tcW w:w="3011" w:type="dxa"/>
          </w:tcPr>
          <w:p w14:paraId="26E0677F"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04/sept/2023</w:t>
            </w:r>
          </w:p>
        </w:tc>
        <w:tc>
          <w:tcPr>
            <w:tcW w:w="2150" w:type="dxa"/>
          </w:tcPr>
          <w:p w14:paraId="09EF3A8C"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2019-000141</w:t>
            </w:r>
          </w:p>
        </w:tc>
      </w:tr>
      <w:tr w:rsidR="00D55D0B" w:rsidRPr="00BC3053" w14:paraId="02B0E68A" w14:textId="77777777" w:rsidTr="001561A0">
        <w:tc>
          <w:tcPr>
            <w:tcW w:w="1539" w:type="dxa"/>
          </w:tcPr>
          <w:p w14:paraId="2768CE10"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Arecibo</w:t>
            </w:r>
          </w:p>
        </w:tc>
        <w:tc>
          <w:tcPr>
            <w:tcW w:w="2295" w:type="dxa"/>
          </w:tcPr>
          <w:p w14:paraId="7AB5FA99"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17/</w:t>
            </w:r>
            <w:proofErr w:type="spellStart"/>
            <w:r w:rsidRPr="00BC3053">
              <w:rPr>
                <w:rFonts w:ascii="Century Gothic" w:hAnsi="Century Gothic" w:cs="Segoe UI"/>
                <w:color w:val="212529"/>
                <w:sz w:val="24"/>
                <w:szCs w:val="24"/>
              </w:rPr>
              <w:t>dic</w:t>
            </w:r>
            <w:proofErr w:type="spellEnd"/>
            <w:r w:rsidRPr="00BC3053">
              <w:rPr>
                <w:rFonts w:ascii="Century Gothic" w:hAnsi="Century Gothic" w:cs="Segoe UI"/>
                <w:color w:val="212529"/>
                <w:sz w:val="24"/>
                <w:szCs w:val="24"/>
              </w:rPr>
              <w:t>/2019</w:t>
            </w:r>
          </w:p>
        </w:tc>
        <w:tc>
          <w:tcPr>
            <w:tcW w:w="3011" w:type="dxa"/>
          </w:tcPr>
          <w:p w14:paraId="325BC807" w14:textId="77777777" w:rsidR="00D55D0B" w:rsidRPr="00BC3053" w:rsidRDefault="00D55D0B" w:rsidP="001561A0">
            <w:pPr>
              <w:jc w:val="center"/>
              <w:rPr>
                <w:rFonts w:ascii="Century Gothic" w:hAnsi="Century Gothic" w:cs="Segoe UI"/>
                <w:color w:val="212529"/>
                <w:sz w:val="24"/>
                <w:szCs w:val="24"/>
              </w:rPr>
            </w:pPr>
            <w:proofErr w:type="spellStart"/>
            <w:r w:rsidRPr="00BC3053">
              <w:rPr>
                <w:rFonts w:ascii="Century Gothic" w:hAnsi="Century Gothic" w:cs="Segoe UI"/>
                <w:color w:val="212529"/>
                <w:sz w:val="24"/>
                <w:szCs w:val="24"/>
              </w:rPr>
              <w:t>Cancelado</w:t>
            </w:r>
            <w:proofErr w:type="spellEnd"/>
            <w:r w:rsidRPr="00BC3053">
              <w:rPr>
                <w:rFonts w:ascii="Century Gothic" w:hAnsi="Century Gothic" w:cs="Segoe UI"/>
                <w:color w:val="212529"/>
                <w:sz w:val="24"/>
                <w:szCs w:val="24"/>
              </w:rPr>
              <w:t>: 20/</w:t>
            </w:r>
            <w:proofErr w:type="spellStart"/>
            <w:r w:rsidRPr="00BC3053">
              <w:rPr>
                <w:rFonts w:ascii="Century Gothic" w:hAnsi="Century Gothic" w:cs="Segoe UI"/>
                <w:color w:val="212529"/>
                <w:sz w:val="24"/>
                <w:szCs w:val="24"/>
              </w:rPr>
              <w:t>jul</w:t>
            </w:r>
            <w:proofErr w:type="spellEnd"/>
            <w:r w:rsidRPr="00BC3053">
              <w:rPr>
                <w:rFonts w:ascii="Century Gothic" w:hAnsi="Century Gothic" w:cs="Segoe UI"/>
                <w:color w:val="212529"/>
                <w:sz w:val="24"/>
                <w:szCs w:val="24"/>
              </w:rPr>
              <w:t>/2020</w:t>
            </w:r>
          </w:p>
        </w:tc>
        <w:tc>
          <w:tcPr>
            <w:tcW w:w="2150" w:type="dxa"/>
          </w:tcPr>
          <w:p w14:paraId="0615858B"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2020-000777</w:t>
            </w:r>
          </w:p>
        </w:tc>
      </w:tr>
      <w:tr w:rsidR="00D55D0B" w:rsidRPr="00BC3053" w14:paraId="5B67FA06" w14:textId="77777777" w:rsidTr="001561A0">
        <w:tc>
          <w:tcPr>
            <w:tcW w:w="1539" w:type="dxa"/>
          </w:tcPr>
          <w:p w14:paraId="5788E2B8"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Arroyo</w:t>
            </w:r>
          </w:p>
        </w:tc>
        <w:tc>
          <w:tcPr>
            <w:tcW w:w="2295" w:type="dxa"/>
          </w:tcPr>
          <w:p w14:paraId="396E9B97"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15/mar/2019</w:t>
            </w:r>
          </w:p>
        </w:tc>
        <w:tc>
          <w:tcPr>
            <w:tcW w:w="3011" w:type="dxa"/>
          </w:tcPr>
          <w:p w14:paraId="6353CC2A"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cs="Segoe UI"/>
                <w:color w:val="212529"/>
                <w:sz w:val="24"/>
                <w:szCs w:val="24"/>
              </w:rPr>
              <w:t>15/mar/2024</w:t>
            </w:r>
          </w:p>
        </w:tc>
        <w:tc>
          <w:tcPr>
            <w:tcW w:w="2150" w:type="dxa"/>
          </w:tcPr>
          <w:p w14:paraId="20CC5F12"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2019-000160</w:t>
            </w:r>
          </w:p>
        </w:tc>
      </w:tr>
      <w:tr w:rsidR="00D55D0B" w:rsidRPr="00BC3053" w14:paraId="6312F19E" w14:textId="77777777" w:rsidTr="001561A0">
        <w:tc>
          <w:tcPr>
            <w:tcW w:w="1539" w:type="dxa"/>
          </w:tcPr>
          <w:p w14:paraId="3EEF92C5" w14:textId="77777777" w:rsidR="00D55D0B" w:rsidRPr="00BC3053" w:rsidRDefault="00D55D0B" w:rsidP="001561A0">
            <w:pPr>
              <w:pStyle w:val="ListParagraph"/>
              <w:numPr>
                <w:ilvl w:val="0"/>
                <w:numId w:val="1"/>
              </w:numPr>
              <w:rPr>
                <w:rFonts w:ascii="Century Gothic" w:hAnsi="Century Gothic"/>
                <w:sz w:val="24"/>
                <w:szCs w:val="24"/>
              </w:rPr>
            </w:pPr>
            <w:proofErr w:type="spellStart"/>
            <w:r w:rsidRPr="00BC3053">
              <w:rPr>
                <w:rFonts w:ascii="Century Gothic" w:hAnsi="Century Gothic"/>
                <w:sz w:val="24"/>
                <w:szCs w:val="24"/>
              </w:rPr>
              <w:t>Canóvanas</w:t>
            </w:r>
            <w:proofErr w:type="spellEnd"/>
            <w:r w:rsidRPr="00BC3053">
              <w:rPr>
                <w:rFonts w:ascii="Century Gothic" w:hAnsi="Century Gothic"/>
                <w:sz w:val="24"/>
                <w:szCs w:val="24"/>
              </w:rPr>
              <w:t xml:space="preserve"> </w:t>
            </w:r>
          </w:p>
        </w:tc>
        <w:tc>
          <w:tcPr>
            <w:tcW w:w="2295" w:type="dxa"/>
          </w:tcPr>
          <w:p w14:paraId="07DE5A33"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20/mar/2019</w:t>
            </w:r>
          </w:p>
        </w:tc>
        <w:tc>
          <w:tcPr>
            <w:tcW w:w="3011" w:type="dxa"/>
          </w:tcPr>
          <w:p w14:paraId="783706B4" w14:textId="77777777" w:rsidR="00D55D0B" w:rsidRPr="00BC3053" w:rsidRDefault="00D55D0B" w:rsidP="001561A0">
            <w:pPr>
              <w:jc w:val="center"/>
              <w:rPr>
                <w:rFonts w:ascii="Century Gothic" w:hAnsi="Century Gothic"/>
                <w:sz w:val="24"/>
                <w:szCs w:val="24"/>
              </w:rPr>
            </w:pPr>
            <w:proofErr w:type="spellStart"/>
            <w:r w:rsidRPr="00BC3053">
              <w:rPr>
                <w:rFonts w:ascii="Century Gothic" w:hAnsi="Century Gothic"/>
                <w:sz w:val="24"/>
                <w:szCs w:val="24"/>
              </w:rPr>
              <w:t>Cancelado</w:t>
            </w:r>
            <w:proofErr w:type="spellEnd"/>
            <w:r w:rsidRPr="00BC3053">
              <w:rPr>
                <w:rFonts w:ascii="Century Gothic" w:hAnsi="Century Gothic"/>
                <w:sz w:val="24"/>
                <w:szCs w:val="24"/>
              </w:rPr>
              <w:t>: 16/ago/2021</w:t>
            </w:r>
          </w:p>
        </w:tc>
        <w:tc>
          <w:tcPr>
            <w:tcW w:w="2150" w:type="dxa"/>
          </w:tcPr>
          <w:p w14:paraId="72091FB9"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2019-000396</w:t>
            </w:r>
          </w:p>
        </w:tc>
      </w:tr>
      <w:tr w:rsidR="00D55D0B" w:rsidRPr="00BC3053" w14:paraId="0CC8D2ED" w14:textId="77777777" w:rsidTr="001561A0">
        <w:tc>
          <w:tcPr>
            <w:tcW w:w="1539" w:type="dxa"/>
          </w:tcPr>
          <w:p w14:paraId="68CC2C83" w14:textId="77777777" w:rsidR="00D55D0B" w:rsidRPr="00BC3053" w:rsidRDefault="00D55D0B" w:rsidP="001561A0">
            <w:pPr>
              <w:pStyle w:val="ListParagraph"/>
              <w:numPr>
                <w:ilvl w:val="0"/>
                <w:numId w:val="1"/>
              </w:numPr>
              <w:rPr>
                <w:rFonts w:ascii="Century Gothic" w:hAnsi="Century Gothic"/>
                <w:sz w:val="24"/>
                <w:szCs w:val="24"/>
              </w:rPr>
            </w:pPr>
            <w:proofErr w:type="spellStart"/>
            <w:r w:rsidRPr="00BC3053">
              <w:rPr>
                <w:rFonts w:ascii="Century Gothic" w:hAnsi="Century Gothic"/>
                <w:sz w:val="24"/>
                <w:szCs w:val="24"/>
              </w:rPr>
              <w:lastRenderedPageBreak/>
              <w:t>Cidra</w:t>
            </w:r>
            <w:proofErr w:type="spellEnd"/>
          </w:p>
        </w:tc>
        <w:tc>
          <w:tcPr>
            <w:tcW w:w="2295" w:type="dxa"/>
          </w:tcPr>
          <w:p w14:paraId="7BD48FED"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sz w:val="24"/>
                <w:szCs w:val="24"/>
              </w:rPr>
              <w:t>01/mar/2019</w:t>
            </w:r>
          </w:p>
        </w:tc>
        <w:tc>
          <w:tcPr>
            <w:tcW w:w="3011" w:type="dxa"/>
          </w:tcPr>
          <w:p w14:paraId="24A27E58" w14:textId="77777777" w:rsidR="00D55D0B" w:rsidRPr="00BC3053" w:rsidRDefault="00D55D0B" w:rsidP="001561A0">
            <w:pPr>
              <w:jc w:val="center"/>
              <w:rPr>
                <w:rFonts w:ascii="Century Gothic" w:hAnsi="Century Gothic"/>
                <w:sz w:val="24"/>
                <w:szCs w:val="24"/>
              </w:rPr>
            </w:pPr>
            <w:proofErr w:type="spellStart"/>
            <w:r w:rsidRPr="00BC3053">
              <w:rPr>
                <w:rFonts w:ascii="Century Gothic" w:hAnsi="Century Gothic"/>
                <w:sz w:val="24"/>
                <w:szCs w:val="24"/>
              </w:rPr>
              <w:t>Cancelado</w:t>
            </w:r>
            <w:proofErr w:type="spellEnd"/>
            <w:r w:rsidRPr="00BC3053">
              <w:rPr>
                <w:rFonts w:ascii="Century Gothic" w:hAnsi="Century Gothic"/>
                <w:sz w:val="24"/>
                <w:szCs w:val="24"/>
              </w:rPr>
              <w:t>: 30/may/2021</w:t>
            </w:r>
          </w:p>
        </w:tc>
        <w:tc>
          <w:tcPr>
            <w:tcW w:w="2150" w:type="dxa"/>
          </w:tcPr>
          <w:p w14:paraId="08D5CA91"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sz w:val="24"/>
                <w:szCs w:val="24"/>
              </w:rPr>
              <w:t>2019-000277</w:t>
            </w:r>
          </w:p>
        </w:tc>
      </w:tr>
      <w:tr w:rsidR="00D55D0B" w:rsidRPr="00BC3053" w14:paraId="046AF8A7" w14:textId="77777777" w:rsidTr="001561A0">
        <w:tc>
          <w:tcPr>
            <w:tcW w:w="1539" w:type="dxa"/>
          </w:tcPr>
          <w:p w14:paraId="0F50950F" w14:textId="77777777" w:rsidR="00D55D0B" w:rsidRPr="00BC3053" w:rsidRDefault="00D55D0B" w:rsidP="001561A0">
            <w:pPr>
              <w:pStyle w:val="ListParagraph"/>
              <w:numPr>
                <w:ilvl w:val="0"/>
                <w:numId w:val="1"/>
              </w:numPr>
              <w:rPr>
                <w:rFonts w:ascii="Century Gothic" w:hAnsi="Century Gothic"/>
                <w:sz w:val="24"/>
                <w:szCs w:val="24"/>
              </w:rPr>
            </w:pPr>
            <w:r w:rsidRPr="00BC3053">
              <w:rPr>
                <w:rFonts w:ascii="Century Gothic" w:hAnsi="Century Gothic"/>
                <w:sz w:val="24"/>
                <w:szCs w:val="24"/>
              </w:rPr>
              <w:t>Humacao</w:t>
            </w:r>
          </w:p>
        </w:tc>
        <w:tc>
          <w:tcPr>
            <w:tcW w:w="2295" w:type="dxa"/>
          </w:tcPr>
          <w:p w14:paraId="21731474"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sz w:val="24"/>
                <w:szCs w:val="24"/>
              </w:rPr>
              <w:t>17/sept/2018</w:t>
            </w:r>
          </w:p>
        </w:tc>
        <w:tc>
          <w:tcPr>
            <w:tcW w:w="3011" w:type="dxa"/>
          </w:tcPr>
          <w:p w14:paraId="56E45BDD" w14:textId="77777777" w:rsidR="00D55D0B" w:rsidRPr="00BC3053" w:rsidRDefault="00D55D0B" w:rsidP="001561A0">
            <w:pPr>
              <w:jc w:val="center"/>
              <w:rPr>
                <w:rFonts w:ascii="Century Gothic" w:hAnsi="Century Gothic" w:cs="Segoe UI"/>
                <w:color w:val="212529"/>
                <w:sz w:val="24"/>
                <w:szCs w:val="24"/>
              </w:rPr>
            </w:pPr>
            <w:proofErr w:type="spellStart"/>
            <w:r w:rsidRPr="00BC3053">
              <w:rPr>
                <w:rFonts w:ascii="Century Gothic" w:hAnsi="Century Gothic"/>
                <w:sz w:val="24"/>
                <w:szCs w:val="24"/>
              </w:rPr>
              <w:t>Cancelado</w:t>
            </w:r>
            <w:proofErr w:type="spellEnd"/>
            <w:r w:rsidRPr="00BC3053">
              <w:rPr>
                <w:rFonts w:ascii="Century Gothic" w:hAnsi="Century Gothic"/>
                <w:sz w:val="24"/>
                <w:szCs w:val="24"/>
              </w:rPr>
              <w:t>: 19/may/2021</w:t>
            </w:r>
          </w:p>
        </w:tc>
        <w:tc>
          <w:tcPr>
            <w:tcW w:w="2150" w:type="dxa"/>
          </w:tcPr>
          <w:p w14:paraId="11A51032" w14:textId="77777777" w:rsidR="00D55D0B" w:rsidRPr="00BC3053" w:rsidRDefault="00D55D0B" w:rsidP="001561A0">
            <w:pPr>
              <w:jc w:val="center"/>
              <w:rPr>
                <w:rFonts w:ascii="Century Gothic" w:hAnsi="Century Gothic" w:cs="Segoe UI"/>
                <w:color w:val="212529"/>
                <w:sz w:val="24"/>
                <w:szCs w:val="24"/>
              </w:rPr>
            </w:pPr>
            <w:r w:rsidRPr="00BC3053">
              <w:rPr>
                <w:rFonts w:ascii="Century Gothic" w:hAnsi="Century Gothic"/>
                <w:sz w:val="24"/>
                <w:szCs w:val="24"/>
              </w:rPr>
              <w:t>2019-000262</w:t>
            </w:r>
          </w:p>
        </w:tc>
      </w:tr>
    </w:tbl>
    <w:p w14:paraId="16D1D1C6" w14:textId="77777777" w:rsidR="00D55D0B" w:rsidRPr="00BC3053" w:rsidRDefault="00D55D0B" w:rsidP="00D55D0B">
      <w:pPr>
        <w:rPr>
          <w:rFonts w:ascii="Century Gothic" w:hAnsi="Century Gothic"/>
          <w:sz w:val="24"/>
          <w:szCs w:val="24"/>
        </w:rPr>
      </w:pPr>
    </w:p>
    <w:p w14:paraId="0A6947C3" w14:textId="77777777" w:rsidR="00D55D0B" w:rsidRPr="00BC3053" w:rsidRDefault="00D55D0B" w:rsidP="00D55D0B">
      <w:pPr>
        <w:jc w:val="center"/>
        <w:rPr>
          <w:rFonts w:ascii="Century Gothic" w:hAnsi="Century Gothic"/>
          <w:b/>
          <w:bCs/>
          <w:sz w:val="24"/>
          <w:szCs w:val="24"/>
          <w:lang w:val="es-PR"/>
        </w:rPr>
      </w:pPr>
      <w:r w:rsidRPr="00BC3053">
        <w:rPr>
          <w:rFonts w:ascii="Century Gothic" w:hAnsi="Century Gothic"/>
          <w:b/>
          <w:bCs/>
          <w:sz w:val="24"/>
          <w:szCs w:val="24"/>
          <w:lang w:val="es-PR"/>
        </w:rPr>
        <w:t xml:space="preserve">Municipios con contratos para la eliminación, reducción y control de los estorbos públicos con Francis &amp; </w:t>
      </w:r>
      <w:proofErr w:type="spellStart"/>
      <w:r w:rsidRPr="00BC3053">
        <w:rPr>
          <w:rFonts w:ascii="Century Gothic" w:hAnsi="Century Gothic"/>
          <w:b/>
          <w:bCs/>
          <w:sz w:val="24"/>
          <w:szCs w:val="24"/>
          <w:lang w:val="es-PR"/>
        </w:rPr>
        <w:t>Gueits</w:t>
      </w:r>
      <w:proofErr w:type="spellEnd"/>
      <w:r w:rsidRPr="00BC3053">
        <w:rPr>
          <w:rFonts w:ascii="Century Gothic" w:hAnsi="Century Gothic"/>
          <w:b/>
          <w:bCs/>
          <w:sz w:val="24"/>
          <w:szCs w:val="24"/>
          <w:lang w:val="es-PR"/>
        </w:rPr>
        <w:t xml:space="preserve"> </w:t>
      </w:r>
      <w:proofErr w:type="spellStart"/>
      <w:r w:rsidRPr="00BC3053">
        <w:rPr>
          <w:rFonts w:ascii="Century Gothic" w:hAnsi="Century Gothic"/>
          <w:b/>
          <w:bCs/>
          <w:sz w:val="24"/>
          <w:szCs w:val="24"/>
          <w:lang w:val="es-PR"/>
        </w:rPr>
        <w:t>Law</w:t>
      </w:r>
      <w:proofErr w:type="spellEnd"/>
      <w:r w:rsidRPr="00BC3053">
        <w:rPr>
          <w:rFonts w:ascii="Century Gothic" w:hAnsi="Century Gothic"/>
          <w:b/>
          <w:bCs/>
          <w:sz w:val="24"/>
          <w:szCs w:val="24"/>
          <w:lang w:val="es-PR"/>
        </w:rPr>
        <w:t xml:space="preserve"> </w:t>
      </w:r>
      <w:proofErr w:type="spellStart"/>
      <w:r w:rsidRPr="00BC3053">
        <w:rPr>
          <w:rFonts w:ascii="Century Gothic" w:hAnsi="Century Gothic"/>
          <w:b/>
          <w:bCs/>
          <w:sz w:val="24"/>
          <w:szCs w:val="24"/>
          <w:lang w:val="es-PR"/>
        </w:rPr>
        <w:t>Offices</w:t>
      </w:r>
      <w:proofErr w:type="spellEnd"/>
    </w:p>
    <w:tbl>
      <w:tblPr>
        <w:tblStyle w:val="TableGrid"/>
        <w:tblW w:w="9350" w:type="dxa"/>
        <w:tblLook w:val="04A0" w:firstRow="1" w:lastRow="0" w:firstColumn="1" w:lastColumn="0" w:noHBand="0" w:noVBand="1"/>
      </w:tblPr>
      <w:tblGrid>
        <w:gridCol w:w="1860"/>
        <w:gridCol w:w="2485"/>
        <w:gridCol w:w="2562"/>
        <w:gridCol w:w="2443"/>
      </w:tblGrid>
      <w:tr w:rsidR="00D55D0B" w:rsidRPr="00BC3053" w14:paraId="22DFDD17" w14:textId="77777777" w:rsidTr="001561A0">
        <w:tc>
          <w:tcPr>
            <w:tcW w:w="1598" w:type="dxa"/>
          </w:tcPr>
          <w:p w14:paraId="03F2CB7A"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Municipio</w:t>
            </w:r>
          </w:p>
        </w:tc>
        <w:tc>
          <w:tcPr>
            <w:tcW w:w="2556" w:type="dxa"/>
          </w:tcPr>
          <w:p w14:paraId="1474AD50" w14:textId="77777777" w:rsidR="00D55D0B" w:rsidRPr="00BC3053" w:rsidRDefault="00D55D0B" w:rsidP="001561A0">
            <w:pPr>
              <w:jc w:val="center"/>
              <w:rPr>
                <w:rFonts w:ascii="Century Gothic" w:hAnsi="Century Gothic"/>
                <w:sz w:val="24"/>
                <w:szCs w:val="24"/>
              </w:rPr>
            </w:pPr>
            <w:proofErr w:type="spellStart"/>
            <w:r w:rsidRPr="00BC3053">
              <w:rPr>
                <w:rFonts w:ascii="Century Gothic" w:hAnsi="Century Gothic"/>
                <w:sz w:val="24"/>
                <w:szCs w:val="24"/>
              </w:rPr>
              <w:t>Fecha</w:t>
            </w:r>
            <w:proofErr w:type="spellEnd"/>
            <w:r w:rsidRPr="00BC3053">
              <w:rPr>
                <w:rFonts w:ascii="Century Gothic" w:hAnsi="Century Gothic"/>
                <w:sz w:val="24"/>
                <w:szCs w:val="24"/>
              </w:rPr>
              <w:t xml:space="preserve"> de </w:t>
            </w:r>
            <w:proofErr w:type="spellStart"/>
            <w:r w:rsidRPr="00BC3053">
              <w:rPr>
                <w:rFonts w:ascii="Century Gothic" w:hAnsi="Century Gothic"/>
                <w:sz w:val="24"/>
                <w:szCs w:val="24"/>
              </w:rPr>
              <w:t>vigencia</w:t>
            </w:r>
            <w:proofErr w:type="spellEnd"/>
          </w:p>
        </w:tc>
        <w:tc>
          <w:tcPr>
            <w:tcW w:w="2641" w:type="dxa"/>
          </w:tcPr>
          <w:p w14:paraId="5B298D0F" w14:textId="77777777" w:rsidR="00D55D0B" w:rsidRPr="00BC3053" w:rsidRDefault="00D55D0B" w:rsidP="001561A0">
            <w:pPr>
              <w:jc w:val="center"/>
              <w:rPr>
                <w:rFonts w:ascii="Century Gothic" w:hAnsi="Century Gothic"/>
                <w:sz w:val="24"/>
                <w:szCs w:val="24"/>
              </w:rPr>
            </w:pPr>
            <w:proofErr w:type="spellStart"/>
            <w:r w:rsidRPr="00BC3053">
              <w:rPr>
                <w:rFonts w:ascii="Century Gothic" w:hAnsi="Century Gothic"/>
                <w:sz w:val="24"/>
                <w:szCs w:val="24"/>
              </w:rPr>
              <w:t>Vigente</w:t>
            </w:r>
            <w:proofErr w:type="spellEnd"/>
            <w:r w:rsidRPr="00BC3053">
              <w:rPr>
                <w:rFonts w:ascii="Century Gothic" w:hAnsi="Century Gothic"/>
                <w:sz w:val="24"/>
                <w:szCs w:val="24"/>
              </w:rPr>
              <w:t xml:space="preserve"> hasta</w:t>
            </w:r>
          </w:p>
        </w:tc>
        <w:tc>
          <w:tcPr>
            <w:tcW w:w="2555" w:type="dxa"/>
          </w:tcPr>
          <w:p w14:paraId="64155EB9" w14:textId="77777777" w:rsidR="00D55D0B" w:rsidRPr="00BC3053" w:rsidRDefault="00D55D0B" w:rsidP="001561A0">
            <w:pPr>
              <w:jc w:val="center"/>
              <w:rPr>
                <w:rFonts w:ascii="Century Gothic" w:hAnsi="Century Gothic"/>
                <w:sz w:val="24"/>
                <w:szCs w:val="24"/>
              </w:rPr>
            </w:pPr>
            <w:proofErr w:type="spellStart"/>
            <w:r w:rsidRPr="00BC3053">
              <w:rPr>
                <w:rFonts w:ascii="Century Gothic" w:hAnsi="Century Gothic"/>
                <w:sz w:val="24"/>
                <w:szCs w:val="24"/>
              </w:rPr>
              <w:t>Núm</w:t>
            </w:r>
            <w:proofErr w:type="spellEnd"/>
            <w:r w:rsidRPr="00BC3053">
              <w:rPr>
                <w:rFonts w:ascii="Century Gothic" w:hAnsi="Century Gothic"/>
                <w:sz w:val="24"/>
                <w:szCs w:val="24"/>
              </w:rPr>
              <w:t xml:space="preserve">. De </w:t>
            </w:r>
            <w:proofErr w:type="spellStart"/>
            <w:r w:rsidRPr="00BC3053">
              <w:rPr>
                <w:rFonts w:ascii="Century Gothic" w:hAnsi="Century Gothic"/>
                <w:sz w:val="24"/>
                <w:szCs w:val="24"/>
              </w:rPr>
              <w:t>Contrato</w:t>
            </w:r>
            <w:proofErr w:type="spellEnd"/>
          </w:p>
        </w:tc>
      </w:tr>
      <w:tr w:rsidR="00D55D0B" w:rsidRPr="00BC3053" w14:paraId="4E629753" w14:textId="77777777" w:rsidTr="001561A0">
        <w:trPr>
          <w:trHeight w:val="188"/>
        </w:trPr>
        <w:tc>
          <w:tcPr>
            <w:tcW w:w="1598" w:type="dxa"/>
          </w:tcPr>
          <w:p w14:paraId="013174D4" w14:textId="77777777" w:rsidR="00D55D0B" w:rsidRPr="00BC3053" w:rsidRDefault="00D55D0B" w:rsidP="001561A0">
            <w:pPr>
              <w:pStyle w:val="ListParagraph"/>
              <w:numPr>
                <w:ilvl w:val="0"/>
                <w:numId w:val="2"/>
              </w:numPr>
              <w:rPr>
                <w:rFonts w:ascii="Century Gothic" w:hAnsi="Century Gothic"/>
                <w:sz w:val="24"/>
                <w:szCs w:val="24"/>
              </w:rPr>
            </w:pPr>
            <w:r w:rsidRPr="00BC3053">
              <w:rPr>
                <w:rFonts w:ascii="Century Gothic" w:hAnsi="Century Gothic"/>
                <w:sz w:val="24"/>
                <w:szCs w:val="24"/>
              </w:rPr>
              <w:t>Caguas</w:t>
            </w:r>
          </w:p>
        </w:tc>
        <w:tc>
          <w:tcPr>
            <w:tcW w:w="2556" w:type="dxa"/>
          </w:tcPr>
          <w:p w14:paraId="615BA8B4"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11/may/2021</w:t>
            </w:r>
          </w:p>
        </w:tc>
        <w:tc>
          <w:tcPr>
            <w:tcW w:w="2641" w:type="dxa"/>
          </w:tcPr>
          <w:p w14:paraId="1463EA5F"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20/may/2025</w:t>
            </w:r>
          </w:p>
        </w:tc>
        <w:tc>
          <w:tcPr>
            <w:tcW w:w="2555" w:type="dxa"/>
          </w:tcPr>
          <w:p w14:paraId="5822E972" w14:textId="77777777" w:rsidR="00D55D0B" w:rsidRPr="00BC3053" w:rsidRDefault="00D55D0B" w:rsidP="001561A0">
            <w:pPr>
              <w:jc w:val="center"/>
              <w:rPr>
                <w:rFonts w:ascii="Century Gothic" w:hAnsi="Century Gothic"/>
                <w:sz w:val="24"/>
                <w:szCs w:val="24"/>
              </w:rPr>
            </w:pPr>
            <w:r w:rsidRPr="00BC3053">
              <w:rPr>
                <w:rFonts w:ascii="Century Gothic" w:hAnsi="Century Gothic"/>
                <w:sz w:val="24"/>
                <w:szCs w:val="24"/>
              </w:rPr>
              <w:t>2021-003141</w:t>
            </w:r>
          </w:p>
        </w:tc>
      </w:tr>
    </w:tbl>
    <w:p w14:paraId="09CA6495" w14:textId="77777777" w:rsidR="00E37784" w:rsidRPr="00BC3053" w:rsidRDefault="00E37784" w:rsidP="00E37784">
      <w:pPr>
        <w:ind w:firstLine="360"/>
        <w:jc w:val="both"/>
        <w:rPr>
          <w:rFonts w:ascii="Century Gothic" w:hAnsi="Century Gothic" w:cs="BookAntiqua"/>
          <w:sz w:val="24"/>
          <w:szCs w:val="24"/>
          <w:lang w:val="es-PR"/>
        </w:rPr>
      </w:pPr>
    </w:p>
    <w:p w14:paraId="34815816" w14:textId="29F297FD" w:rsidR="00E37784" w:rsidRPr="00BC3053" w:rsidRDefault="00E37784" w:rsidP="00E37784">
      <w:pPr>
        <w:ind w:firstLine="360"/>
        <w:jc w:val="both"/>
        <w:rPr>
          <w:rFonts w:ascii="Century Gothic" w:hAnsi="Century Gothic" w:cs="BookAntiqua"/>
          <w:sz w:val="24"/>
          <w:szCs w:val="24"/>
          <w:lang w:val="es-PR"/>
        </w:rPr>
      </w:pPr>
      <w:r w:rsidRPr="00BC3053">
        <w:rPr>
          <w:rFonts w:ascii="Century Gothic" w:hAnsi="Century Gothic" w:cs="BookAntiqua"/>
          <w:b/>
          <w:sz w:val="24"/>
          <w:szCs w:val="24"/>
          <w:lang w:val="es-PR"/>
        </w:rPr>
        <w:t xml:space="preserve">Universal </w:t>
      </w:r>
      <w:proofErr w:type="spellStart"/>
      <w:r w:rsidRPr="00BC3053">
        <w:rPr>
          <w:rFonts w:ascii="Century Gothic" w:hAnsi="Century Gothic" w:cs="BookAntiqua"/>
          <w:b/>
          <w:sz w:val="24"/>
          <w:szCs w:val="24"/>
          <w:lang w:val="es-PR"/>
        </w:rPr>
        <w:t>Properties</w:t>
      </w:r>
      <w:proofErr w:type="spellEnd"/>
      <w:r w:rsidRPr="00BC3053">
        <w:rPr>
          <w:rFonts w:ascii="Century Gothic" w:hAnsi="Century Gothic" w:cs="BookAntiqua"/>
          <w:b/>
          <w:sz w:val="24"/>
          <w:szCs w:val="24"/>
          <w:lang w:val="es-PR"/>
        </w:rPr>
        <w:t xml:space="preserve"> </w:t>
      </w:r>
      <w:proofErr w:type="spellStart"/>
      <w:r w:rsidRPr="00BC3053">
        <w:rPr>
          <w:rFonts w:ascii="Century Gothic" w:hAnsi="Century Gothic" w:cs="BookAntiqua"/>
          <w:b/>
          <w:sz w:val="24"/>
          <w:szCs w:val="24"/>
          <w:lang w:val="es-PR"/>
        </w:rPr>
        <w:t>Realty</w:t>
      </w:r>
      <w:proofErr w:type="spellEnd"/>
      <w:r w:rsidRPr="00BC3053">
        <w:rPr>
          <w:rFonts w:ascii="Century Gothic" w:hAnsi="Century Gothic" w:cs="BookAntiqua"/>
          <w:b/>
          <w:sz w:val="24"/>
          <w:szCs w:val="24"/>
          <w:lang w:val="es-PR"/>
        </w:rPr>
        <w:t xml:space="preserve"> </w:t>
      </w:r>
      <w:proofErr w:type="spellStart"/>
      <w:r w:rsidRPr="00BC3053">
        <w:rPr>
          <w:rFonts w:ascii="Century Gothic" w:hAnsi="Century Gothic" w:cs="BookAntiqua"/>
          <w:b/>
          <w:sz w:val="24"/>
          <w:szCs w:val="24"/>
          <w:lang w:val="es-PR"/>
        </w:rPr>
        <w:t>Government</w:t>
      </w:r>
      <w:proofErr w:type="spellEnd"/>
      <w:r w:rsidRPr="00BC3053">
        <w:rPr>
          <w:rFonts w:ascii="Century Gothic" w:hAnsi="Century Gothic" w:cs="BookAntiqua"/>
          <w:b/>
          <w:sz w:val="24"/>
          <w:szCs w:val="24"/>
          <w:lang w:val="es-PR"/>
        </w:rPr>
        <w:t xml:space="preserve"> </w:t>
      </w:r>
      <w:proofErr w:type="spellStart"/>
      <w:r w:rsidRPr="00BC3053">
        <w:rPr>
          <w:rFonts w:ascii="Century Gothic" w:hAnsi="Century Gothic" w:cs="BookAntiqua"/>
          <w:b/>
          <w:sz w:val="24"/>
          <w:szCs w:val="24"/>
          <w:lang w:val="es-PR"/>
        </w:rPr>
        <w:t>Services</w:t>
      </w:r>
      <w:proofErr w:type="spellEnd"/>
      <w:r w:rsidRPr="00BC3053">
        <w:rPr>
          <w:rFonts w:ascii="Century Gothic" w:hAnsi="Century Gothic" w:cs="BookAntiqua"/>
          <w:b/>
          <w:sz w:val="24"/>
          <w:szCs w:val="24"/>
          <w:lang w:val="es-PR"/>
        </w:rPr>
        <w:t xml:space="preserve"> </w:t>
      </w:r>
      <w:r w:rsidRPr="00BC3053">
        <w:rPr>
          <w:rFonts w:ascii="Century Gothic" w:hAnsi="Century Gothic" w:cs="BookAntiqua"/>
          <w:sz w:val="24"/>
          <w:szCs w:val="24"/>
          <w:lang w:val="es-PR"/>
        </w:rPr>
        <w:t>es una entidad de responsabilidad limitada (LLC) organizada con el propósito de “ser una empresa con fines lucrativos sirviendo como APP a los municipios de Puerto Rico en y para: Desarrollo, administración, venta, disposición, traspaso, cobro</w:t>
      </w:r>
      <w:r w:rsidR="00680E6A" w:rsidRPr="00BC3053">
        <w:rPr>
          <w:rFonts w:ascii="Century Gothic" w:hAnsi="Century Gothic" w:cs="BookAntiqua"/>
          <w:sz w:val="24"/>
          <w:szCs w:val="24"/>
          <w:lang w:val="es-PR"/>
        </w:rPr>
        <w:t>,</w:t>
      </w:r>
      <w:r w:rsidRPr="00BC3053">
        <w:rPr>
          <w:rFonts w:ascii="Century Gothic" w:hAnsi="Century Gothic" w:cs="BookAntiqua"/>
          <w:sz w:val="24"/>
          <w:szCs w:val="24"/>
          <w:lang w:val="es-PR"/>
        </w:rPr>
        <w:t xml:space="preserve"> mantenimiento y demás sobre los estorbos públicos de la enmendada ley 13 del 1996 así como otras leyes adyacentes [sic] estatales y federales, entre ellas la ley 10.”. Ver </w:t>
      </w:r>
      <w:r w:rsidRPr="00BC3053">
        <w:rPr>
          <w:rFonts w:ascii="Century Gothic" w:hAnsi="Century Gothic" w:cs="BookAntiqua"/>
          <w:i/>
          <w:iCs/>
          <w:sz w:val="24"/>
          <w:szCs w:val="24"/>
          <w:lang w:val="es-PR"/>
        </w:rPr>
        <w:t>Anejo 1</w:t>
      </w:r>
      <w:r w:rsidRPr="00BC3053">
        <w:rPr>
          <w:rFonts w:ascii="Century Gothic" w:hAnsi="Century Gothic" w:cs="BookAntiqua"/>
          <w:sz w:val="24"/>
          <w:szCs w:val="24"/>
          <w:lang w:val="es-PR"/>
        </w:rPr>
        <w:t>,</w:t>
      </w:r>
      <w:r w:rsidRPr="00BC3053">
        <w:rPr>
          <w:rFonts w:ascii="Century Gothic" w:hAnsi="Century Gothic" w:cs="BookAntiqua"/>
          <w:i/>
          <w:sz w:val="24"/>
          <w:szCs w:val="24"/>
          <w:lang w:val="es-PR"/>
        </w:rPr>
        <w:t xml:space="preserve"> Certificado de Organización de Universal </w:t>
      </w:r>
      <w:proofErr w:type="spellStart"/>
      <w:r w:rsidRPr="00BC3053">
        <w:rPr>
          <w:rFonts w:ascii="Century Gothic" w:hAnsi="Century Gothic" w:cs="BookAntiqua"/>
          <w:i/>
          <w:sz w:val="24"/>
          <w:szCs w:val="24"/>
          <w:lang w:val="es-PR"/>
        </w:rPr>
        <w:t>Properties</w:t>
      </w:r>
      <w:proofErr w:type="spellEnd"/>
      <w:r w:rsidRPr="00BC3053">
        <w:rPr>
          <w:rFonts w:ascii="Century Gothic" w:hAnsi="Century Gothic" w:cs="BookAntiqua"/>
          <w:sz w:val="24"/>
          <w:szCs w:val="24"/>
          <w:lang w:val="es-PR"/>
        </w:rPr>
        <w:t xml:space="preserve">. </w:t>
      </w:r>
      <w:r w:rsidR="00B21AA8" w:rsidRPr="00BC3053">
        <w:rPr>
          <w:rFonts w:ascii="Century Gothic" w:hAnsi="Century Gothic" w:cs="BookAntiqua"/>
          <w:sz w:val="24"/>
          <w:szCs w:val="24"/>
          <w:lang w:val="es-PR"/>
        </w:rPr>
        <w:t xml:space="preserve">Según consta en sus propuestas a los municipios, la compañía también se dedica a asesorar a inversionistas extranjeros que se benefician de la Ley 22.  </w:t>
      </w:r>
      <w:r w:rsidRPr="00BC3053">
        <w:rPr>
          <w:rFonts w:ascii="Century Gothic" w:hAnsi="Century Gothic" w:cs="BookAntiqua"/>
          <w:sz w:val="24"/>
          <w:szCs w:val="24"/>
          <w:lang w:val="es-PR"/>
        </w:rPr>
        <w:t xml:space="preserve">Está designado como persona autorizada Andrés R. Reyes Vélez.  La empresa se registra como inscrita el 16 de  febrero de 2018.  El 1ro de marzo de ese año, apenas 13 días después, Universal suscribe su primer contrato, con el Municipio de Guayanilla. Ver </w:t>
      </w:r>
      <w:r w:rsidRPr="00BC3053">
        <w:rPr>
          <w:rFonts w:ascii="Century Gothic" w:hAnsi="Century Gothic" w:cs="BookAntiqua"/>
          <w:i/>
          <w:iCs/>
          <w:sz w:val="24"/>
          <w:szCs w:val="24"/>
          <w:lang w:val="es-PR"/>
        </w:rPr>
        <w:t>Anejo 2</w:t>
      </w:r>
      <w:r w:rsidRPr="00BC3053">
        <w:rPr>
          <w:rFonts w:ascii="Century Gothic" w:hAnsi="Century Gothic" w:cs="BookAntiqua"/>
          <w:sz w:val="24"/>
          <w:szCs w:val="24"/>
          <w:lang w:val="es-PR"/>
        </w:rPr>
        <w:t xml:space="preserve">, </w:t>
      </w:r>
      <w:r w:rsidRPr="00BC3053">
        <w:rPr>
          <w:rFonts w:ascii="Century Gothic" w:hAnsi="Century Gothic" w:cs="BookAntiqua"/>
          <w:i/>
          <w:sz w:val="24"/>
          <w:szCs w:val="24"/>
          <w:lang w:val="es-PR"/>
        </w:rPr>
        <w:t>Contrato entre Universal y Municipio de Guayanilla</w:t>
      </w:r>
      <w:r w:rsidRPr="00BC3053">
        <w:rPr>
          <w:rFonts w:ascii="Century Gothic" w:hAnsi="Century Gothic" w:cs="BookAntiqua"/>
          <w:sz w:val="24"/>
          <w:szCs w:val="24"/>
          <w:lang w:val="es-PR"/>
        </w:rPr>
        <w:t xml:space="preserve">, según registrado </w:t>
      </w:r>
      <w:r w:rsidR="00B21AA8" w:rsidRPr="00BC3053">
        <w:rPr>
          <w:rFonts w:ascii="Century Gothic" w:hAnsi="Century Gothic" w:cs="BookAntiqua"/>
          <w:sz w:val="24"/>
          <w:szCs w:val="24"/>
          <w:lang w:val="es-PR"/>
        </w:rPr>
        <w:t>en la Oficina de la Contralora.</w:t>
      </w:r>
    </w:p>
    <w:p w14:paraId="611D010F" w14:textId="77777777" w:rsidR="00E37784" w:rsidRPr="00BC3053" w:rsidRDefault="00E37784" w:rsidP="00E37784">
      <w:pPr>
        <w:ind w:firstLine="360"/>
        <w:jc w:val="both"/>
        <w:rPr>
          <w:rFonts w:ascii="Century Gothic" w:hAnsi="Century Gothic" w:cs="BookAntiqua"/>
          <w:sz w:val="24"/>
          <w:szCs w:val="24"/>
          <w:lang w:val="es-PR"/>
        </w:rPr>
      </w:pPr>
      <w:r w:rsidRPr="00BC3053">
        <w:rPr>
          <w:rFonts w:ascii="Century Gothic" w:hAnsi="Century Gothic" w:cs="BookAntiqua"/>
          <w:sz w:val="24"/>
          <w:szCs w:val="24"/>
          <w:lang w:val="es-PR"/>
        </w:rPr>
        <w:t xml:space="preserve">Universal </w:t>
      </w:r>
      <w:proofErr w:type="spellStart"/>
      <w:r w:rsidRPr="00BC3053">
        <w:rPr>
          <w:rFonts w:ascii="Century Gothic" w:hAnsi="Century Gothic" w:cs="BookAntiqua"/>
          <w:sz w:val="24"/>
          <w:szCs w:val="24"/>
          <w:lang w:val="es-PR"/>
        </w:rPr>
        <w:t>Properties</w:t>
      </w:r>
      <w:proofErr w:type="spellEnd"/>
      <w:r w:rsidRPr="00BC3053">
        <w:rPr>
          <w:rFonts w:ascii="Century Gothic" w:hAnsi="Century Gothic" w:cs="BookAntiqua"/>
          <w:sz w:val="24"/>
          <w:szCs w:val="24"/>
          <w:lang w:val="es-PR"/>
        </w:rPr>
        <w:t xml:space="preserve"> ha sido auspiciador de actividades de la Asociación de Alcaldes de Puerto Rico. Ver </w:t>
      </w:r>
      <w:r w:rsidRPr="00BC3053">
        <w:rPr>
          <w:rFonts w:ascii="Century Gothic" w:hAnsi="Century Gothic" w:cs="BookAntiqua"/>
          <w:i/>
          <w:iCs/>
          <w:sz w:val="24"/>
          <w:szCs w:val="24"/>
          <w:lang w:val="es-PR"/>
        </w:rPr>
        <w:t>Anejo 3</w:t>
      </w:r>
      <w:r w:rsidRPr="00BC3053">
        <w:rPr>
          <w:rFonts w:ascii="Century Gothic" w:hAnsi="Century Gothic" w:cs="BookAntiqua"/>
          <w:sz w:val="24"/>
          <w:szCs w:val="24"/>
          <w:lang w:val="es-PR"/>
        </w:rPr>
        <w:t>,</w:t>
      </w:r>
      <w:r w:rsidRPr="00BC3053">
        <w:rPr>
          <w:rFonts w:ascii="Century Gothic" w:hAnsi="Century Gothic" w:cs="BookAntiqua"/>
          <w:i/>
          <w:sz w:val="24"/>
          <w:szCs w:val="24"/>
          <w:lang w:val="es-PR"/>
        </w:rPr>
        <w:t xml:space="preserve"> anuncio de Universal </w:t>
      </w:r>
      <w:proofErr w:type="spellStart"/>
      <w:r w:rsidRPr="00BC3053">
        <w:rPr>
          <w:rFonts w:ascii="Century Gothic" w:hAnsi="Century Gothic" w:cs="BookAntiqua"/>
          <w:i/>
          <w:sz w:val="24"/>
          <w:szCs w:val="24"/>
          <w:lang w:val="es-PR"/>
        </w:rPr>
        <w:t>Properties</w:t>
      </w:r>
      <w:proofErr w:type="spellEnd"/>
      <w:r w:rsidRPr="00BC3053">
        <w:rPr>
          <w:rFonts w:ascii="Century Gothic" w:hAnsi="Century Gothic" w:cs="BookAntiqua"/>
          <w:i/>
          <w:sz w:val="24"/>
          <w:szCs w:val="24"/>
          <w:lang w:val="es-PR"/>
        </w:rPr>
        <w:t>, “</w:t>
      </w:r>
      <w:proofErr w:type="spellStart"/>
      <w:r w:rsidRPr="00BC3053">
        <w:rPr>
          <w:rFonts w:ascii="Century Gothic" w:hAnsi="Century Gothic" w:cs="BookAntiqua"/>
          <w:i/>
          <w:sz w:val="24"/>
          <w:szCs w:val="24"/>
          <w:lang w:val="es-PR"/>
        </w:rPr>
        <w:t>Public</w:t>
      </w:r>
      <w:proofErr w:type="spellEnd"/>
      <w:r w:rsidRPr="00BC3053">
        <w:rPr>
          <w:rFonts w:ascii="Century Gothic" w:hAnsi="Century Gothic" w:cs="BookAntiqua"/>
          <w:i/>
          <w:sz w:val="24"/>
          <w:szCs w:val="24"/>
          <w:lang w:val="es-PR"/>
        </w:rPr>
        <w:t xml:space="preserve"> </w:t>
      </w:r>
      <w:proofErr w:type="spellStart"/>
      <w:r w:rsidRPr="00BC3053">
        <w:rPr>
          <w:rFonts w:ascii="Century Gothic" w:hAnsi="Century Gothic" w:cs="BookAntiqua"/>
          <w:i/>
          <w:sz w:val="24"/>
          <w:szCs w:val="24"/>
          <w:lang w:val="es-PR"/>
        </w:rPr>
        <w:t>Nuisance</w:t>
      </w:r>
      <w:proofErr w:type="spellEnd"/>
      <w:r w:rsidRPr="00BC3053">
        <w:rPr>
          <w:rFonts w:ascii="Century Gothic" w:hAnsi="Century Gothic" w:cs="BookAntiqua"/>
          <w:i/>
          <w:sz w:val="24"/>
          <w:szCs w:val="24"/>
          <w:lang w:val="es-PR"/>
        </w:rPr>
        <w:t xml:space="preserve"> </w:t>
      </w:r>
      <w:proofErr w:type="spellStart"/>
      <w:r w:rsidRPr="00BC3053">
        <w:rPr>
          <w:rFonts w:ascii="Century Gothic" w:hAnsi="Century Gothic" w:cs="BookAntiqua"/>
          <w:i/>
          <w:sz w:val="24"/>
          <w:szCs w:val="24"/>
          <w:lang w:val="es-PR"/>
        </w:rPr>
        <w:t>Division</w:t>
      </w:r>
      <w:proofErr w:type="spellEnd"/>
      <w:r w:rsidRPr="00BC3053">
        <w:rPr>
          <w:rFonts w:ascii="Century Gothic" w:hAnsi="Century Gothic" w:cs="BookAntiqua"/>
          <w:i/>
          <w:sz w:val="24"/>
          <w:szCs w:val="24"/>
          <w:lang w:val="es-PR"/>
        </w:rPr>
        <w:t>”</w:t>
      </w:r>
      <w:r w:rsidRPr="00BC3053">
        <w:rPr>
          <w:rFonts w:ascii="Century Gothic" w:hAnsi="Century Gothic" w:cs="BookAntiqua"/>
          <w:sz w:val="24"/>
          <w:szCs w:val="24"/>
          <w:lang w:val="es-PR"/>
        </w:rPr>
        <w:t xml:space="preserve"> en publicación de la juramentación de la directiva de la Asociación de Alcaldes. </w:t>
      </w:r>
    </w:p>
    <w:p w14:paraId="30BE77B7" w14:textId="250ECF95" w:rsidR="00E37784" w:rsidRPr="00BC3053" w:rsidRDefault="00E37784" w:rsidP="00E37784">
      <w:pPr>
        <w:ind w:firstLine="360"/>
        <w:jc w:val="both"/>
        <w:rPr>
          <w:rFonts w:ascii="Century Gothic" w:hAnsi="Century Gothic" w:cs="BookAntiqua"/>
          <w:sz w:val="24"/>
          <w:szCs w:val="24"/>
          <w:lang w:val="es-PR"/>
        </w:rPr>
      </w:pPr>
      <w:r w:rsidRPr="00BC3053">
        <w:rPr>
          <w:rFonts w:ascii="Century Gothic" w:hAnsi="Century Gothic" w:cs="BookAntiqua"/>
          <w:b/>
          <w:sz w:val="24"/>
          <w:szCs w:val="24"/>
          <w:lang w:val="es-PR"/>
        </w:rPr>
        <w:t xml:space="preserve">Francis &amp; </w:t>
      </w:r>
      <w:proofErr w:type="spellStart"/>
      <w:r w:rsidRPr="00BC3053">
        <w:rPr>
          <w:rFonts w:ascii="Century Gothic" w:hAnsi="Century Gothic" w:cs="BookAntiqua"/>
          <w:b/>
          <w:sz w:val="24"/>
          <w:szCs w:val="24"/>
          <w:lang w:val="es-PR"/>
        </w:rPr>
        <w:t>Gueits</w:t>
      </w:r>
      <w:proofErr w:type="spellEnd"/>
      <w:r w:rsidRPr="00BC3053">
        <w:rPr>
          <w:rFonts w:ascii="Century Gothic" w:hAnsi="Century Gothic" w:cs="BookAntiqua"/>
          <w:b/>
          <w:sz w:val="24"/>
          <w:szCs w:val="24"/>
          <w:lang w:val="es-PR"/>
        </w:rPr>
        <w:t xml:space="preserve"> </w:t>
      </w:r>
      <w:proofErr w:type="spellStart"/>
      <w:r w:rsidRPr="00BC3053">
        <w:rPr>
          <w:rFonts w:ascii="Century Gothic" w:hAnsi="Century Gothic" w:cs="BookAntiqua"/>
          <w:b/>
          <w:sz w:val="24"/>
          <w:szCs w:val="24"/>
          <w:lang w:val="es-PR"/>
        </w:rPr>
        <w:t>Law</w:t>
      </w:r>
      <w:proofErr w:type="spellEnd"/>
      <w:r w:rsidRPr="00BC3053">
        <w:rPr>
          <w:rFonts w:ascii="Century Gothic" w:hAnsi="Century Gothic" w:cs="BookAntiqua"/>
          <w:b/>
          <w:sz w:val="24"/>
          <w:szCs w:val="24"/>
          <w:lang w:val="es-PR"/>
        </w:rPr>
        <w:t xml:space="preserve"> </w:t>
      </w:r>
      <w:proofErr w:type="spellStart"/>
      <w:r w:rsidRPr="00BC3053">
        <w:rPr>
          <w:rFonts w:ascii="Century Gothic" w:hAnsi="Century Gothic" w:cs="BookAntiqua"/>
          <w:b/>
          <w:sz w:val="24"/>
          <w:szCs w:val="24"/>
          <w:lang w:val="es-PR"/>
        </w:rPr>
        <w:t>Offices</w:t>
      </w:r>
      <w:proofErr w:type="spellEnd"/>
      <w:r w:rsidRPr="00BC3053">
        <w:rPr>
          <w:rFonts w:ascii="Century Gothic" w:hAnsi="Century Gothic" w:cs="BookAntiqua"/>
          <w:sz w:val="24"/>
          <w:szCs w:val="24"/>
          <w:lang w:val="es-PR"/>
        </w:rPr>
        <w:t xml:space="preserve"> es un corporación profesional incorporada por el Lcdo. Christian J. Francis Martí</w:t>
      </w:r>
      <w:r w:rsidR="00B21AA8" w:rsidRPr="00BC3053">
        <w:rPr>
          <w:rFonts w:ascii="Century Gothic" w:hAnsi="Century Gothic" w:cs="BookAntiqua"/>
          <w:sz w:val="24"/>
          <w:szCs w:val="24"/>
          <w:lang w:val="es-PR"/>
        </w:rPr>
        <w:t xml:space="preserve">nez y el Lcdo. José </w:t>
      </w:r>
      <w:proofErr w:type="spellStart"/>
      <w:r w:rsidR="00B21AA8" w:rsidRPr="00BC3053">
        <w:rPr>
          <w:rFonts w:ascii="Century Gothic" w:hAnsi="Century Gothic" w:cs="BookAntiqua"/>
          <w:sz w:val="24"/>
          <w:szCs w:val="24"/>
          <w:lang w:val="es-PR"/>
        </w:rPr>
        <w:t>Gueits</w:t>
      </w:r>
      <w:proofErr w:type="spellEnd"/>
      <w:r w:rsidR="00B21AA8" w:rsidRPr="00BC3053">
        <w:rPr>
          <w:rFonts w:ascii="Century Gothic" w:hAnsi="Century Gothic" w:cs="BookAntiqua"/>
          <w:sz w:val="24"/>
          <w:szCs w:val="24"/>
          <w:lang w:val="es-PR"/>
        </w:rPr>
        <w:t xml:space="preserve"> Ortiz</w:t>
      </w:r>
      <w:r w:rsidRPr="00BC3053">
        <w:rPr>
          <w:rFonts w:ascii="Century Gothic" w:hAnsi="Century Gothic" w:cs="BookAntiqua"/>
          <w:sz w:val="24"/>
          <w:szCs w:val="24"/>
          <w:lang w:val="es-PR"/>
        </w:rPr>
        <w:t xml:space="preserve">, con sede en Caguas. El único y exclusivo propósito de la Corporación, según registrada,  es prestar “servicios legales y de notaría”. Su Certificado de Registro tiene fecha del 10 de febrero de 2011. Ver </w:t>
      </w:r>
      <w:r w:rsidRPr="00BC3053">
        <w:rPr>
          <w:rFonts w:ascii="Century Gothic" w:hAnsi="Century Gothic" w:cs="BookAntiqua"/>
          <w:i/>
          <w:iCs/>
          <w:sz w:val="24"/>
          <w:szCs w:val="24"/>
          <w:lang w:val="es-PR"/>
        </w:rPr>
        <w:t>Anejo 4</w:t>
      </w:r>
      <w:r w:rsidRPr="00BC3053">
        <w:rPr>
          <w:rFonts w:ascii="Century Gothic" w:hAnsi="Century Gothic" w:cs="BookAntiqua"/>
          <w:sz w:val="24"/>
          <w:szCs w:val="24"/>
          <w:lang w:val="es-PR"/>
        </w:rPr>
        <w:t xml:space="preserve">, </w:t>
      </w:r>
      <w:r w:rsidRPr="00BC3053">
        <w:rPr>
          <w:rFonts w:ascii="Century Gothic" w:hAnsi="Century Gothic" w:cs="BookAntiqua"/>
          <w:i/>
          <w:sz w:val="24"/>
          <w:szCs w:val="24"/>
          <w:lang w:val="es-PR"/>
        </w:rPr>
        <w:t xml:space="preserve">Certificado de Registro de Francis &amp; </w:t>
      </w:r>
      <w:proofErr w:type="spellStart"/>
      <w:r w:rsidRPr="00BC3053">
        <w:rPr>
          <w:rFonts w:ascii="Century Gothic" w:hAnsi="Century Gothic" w:cs="BookAntiqua"/>
          <w:i/>
          <w:sz w:val="24"/>
          <w:szCs w:val="24"/>
          <w:lang w:val="es-PR"/>
        </w:rPr>
        <w:t>Gueits</w:t>
      </w:r>
      <w:proofErr w:type="spellEnd"/>
      <w:r w:rsidR="00B21AA8" w:rsidRPr="00BC3053">
        <w:rPr>
          <w:rFonts w:ascii="Century Gothic" w:hAnsi="Century Gothic" w:cs="BookAntiqua"/>
          <w:sz w:val="24"/>
          <w:szCs w:val="24"/>
          <w:lang w:val="es-PR"/>
        </w:rPr>
        <w:t xml:space="preserve">. Francis y </w:t>
      </w:r>
      <w:proofErr w:type="spellStart"/>
      <w:r w:rsidR="00B21AA8" w:rsidRPr="00BC3053">
        <w:rPr>
          <w:rFonts w:ascii="Century Gothic" w:hAnsi="Century Gothic" w:cs="BookAntiqua"/>
          <w:sz w:val="24"/>
          <w:szCs w:val="24"/>
          <w:lang w:val="es-PR"/>
        </w:rPr>
        <w:t>Guets</w:t>
      </w:r>
      <w:proofErr w:type="spellEnd"/>
      <w:r w:rsidR="00B21AA8" w:rsidRPr="00BC3053">
        <w:rPr>
          <w:rFonts w:ascii="Century Gothic" w:hAnsi="Century Gothic" w:cs="BookAntiqua"/>
          <w:sz w:val="24"/>
          <w:szCs w:val="24"/>
          <w:lang w:val="es-PR"/>
        </w:rPr>
        <w:t xml:space="preserve"> sólo tiene </w:t>
      </w:r>
      <w:r w:rsidRPr="00BC3053">
        <w:rPr>
          <w:rFonts w:ascii="Century Gothic" w:hAnsi="Century Gothic" w:cs="BookAntiqua"/>
          <w:sz w:val="24"/>
          <w:szCs w:val="24"/>
          <w:lang w:val="es-PR"/>
        </w:rPr>
        <w:t xml:space="preserve">contrato con el Municipio de Caguas, al menos en lo que respecta el asunto que aquí se trata. Ver </w:t>
      </w:r>
      <w:r w:rsidRPr="00BC3053">
        <w:rPr>
          <w:rFonts w:ascii="Century Gothic" w:hAnsi="Century Gothic" w:cs="BookAntiqua"/>
          <w:i/>
          <w:iCs/>
          <w:sz w:val="24"/>
          <w:szCs w:val="24"/>
          <w:lang w:val="es-PR"/>
        </w:rPr>
        <w:t>Anejo 5</w:t>
      </w:r>
      <w:r w:rsidRPr="00BC3053">
        <w:rPr>
          <w:rFonts w:ascii="Century Gothic" w:hAnsi="Century Gothic" w:cs="BookAntiqua"/>
          <w:sz w:val="24"/>
          <w:szCs w:val="24"/>
          <w:lang w:val="es-PR"/>
        </w:rPr>
        <w:t xml:space="preserve">, </w:t>
      </w:r>
      <w:r w:rsidRPr="00BC3053">
        <w:rPr>
          <w:rFonts w:ascii="Century Gothic" w:hAnsi="Century Gothic" w:cs="BookAntiqua"/>
          <w:i/>
          <w:sz w:val="24"/>
          <w:szCs w:val="24"/>
          <w:lang w:val="es-PR"/>
        </w:rPr>
        <w:t xml:space="preserve">Contrato de Francis y </w:t>
      </w:r>
      <w:proofErr w:type="spellStart"/>
      <w:r w:rsidRPr="00BC3053">
        <w:rPr>
          <w:rFonts w:ascii="Century Gothic" w:hAnsi="Century Gothic" w:cs="BookAntiqua"/>
          <w:i/>
          <w:sz w:val="24"/>
          <w:szCs w:val="24"/>
          <w:lang w:val="es-PR"/>
        </w:rPr>
        <w:t>Gueits</w:t>
      </w:r>
      <w:proofErr w:type="spellEnd"/>
      <w:r w:rsidRPr="00BC3053">
        <w:rPr>
          <w:rFonts w:ascii="Century Gothic" w:hAnsi="Century Gothic" w:cs="BookAntiqua"/>
          <w:i/>
          <w:sz w:val="24"/>
          <w:szCs w:val="24"/>
          <w:lang w:val="es-PR"/>
        </w:rPr>
        <w:t xml:space="preserve"> con Municipio de Caguas</w:t>
      </w:r>
      <w:r w:rsidRPr="00BC3053">
        <w:rPr>
          <w:rFonts w:ascii="Century Gothic" w:hAnsi="Century Gothic" w:cs="BookAntiqua"/>
          <w:sz w:val="24"/>
          <w:szCs w:val="24"/>
          <w:lang w:val="es-PR"/>
        </w:rPr>
        <w:t xml:space="preserve">, suscrito el 11 de mayo de 2021. </w:t>
      </w:r>
    </w:p>
    <w:p w14:paraId="3D48790A" w14:textId="7507FB53" w:rsidR="007D54A6" w:rsidRPr="00BC3053" w:rsidRDefault="00E37784" w:rsidP="00341848">
      <w:pPr>
        <w:spacing w:line="240" w:lineRule="auto"/>
        <w:ind w:firstLine="360"/>
        <w:jc w:val="both"/>
        <w:rPr>
          <w:rFonts w:ascii="Century Gothic" w:hAnsi="Century Gothic"/>
          <w:sz w:val="24"/>
          <w:szCs w:val="24"/>
          <w:lang w:val="es-PR"/>
        </w:rPr>
      </w:pPr>
      <w:r w:rsidRPr="00BC3053">
        <w:rPr>
          <w:rFonts w:ascii="Century Gothic" w:hAnsi="Century Gothic"/>
          <w:sz w:val="24"/>
          <w:szCs w:val="24"/>
          <w:lang w:val="es-PR"/>
        </w:rPr>
        <w:lastRenderedPageBreak/>
        <w:t xml:space="preserve">En el caso de Universal, </w:t>
      </w:r>
      <w:r w:rsidR="00314B90" w:rsidRPr="00BC3053">
        <w:rPr>
          <w:rFonts w:ascii="Century Gothic" w:hAnsi="Century Gothic"/>
          <w:sz w:val="24"/>
          <w:szCs w:val="24"/>
          <w:lang w:val="es-PR"/>
        </w:rPr>
        <w:t>los contratos con los diferentes municipios presentan pocas variaciones. Todos se suscriben con el fin de que Universal realice los trabajos relacionados con la administración del Programa de Control de Estorbos P</w:t>
      </w:r>
      <w:r w:rsidR="000549A6" w:rsidRPr="00BC3053">
        <w:rPr>
          <w:rFonts w:ascii="Century Gothic" w:hAnsi="Century Gothic"/>
          <w:sz w:val="24"/>
          <w:szCs w:val="24"/>
          <w:lang w:val="es-PR"/>
        </w:rPr>
        <w:t xml:space="preserve">úblicos. </w:t>
      </w:r>
      <w:r w:rsidR="007D54A6" w:rsidRPr="00BC3053">
        <w:rPr>
          <w:rFonts w:ascii="Century Gothic" w:hAnsi="Century Gothic"/>
          <w:sz w:val="24"/>
          <w:szCs w:val="24"/>
          <w:lang w:val="es-PR"/>
        </w:rPr>
        <w:t>Hay varias</w:t>
      </w:r>
      <w:r w:rsidR="00C95F5D" w:rsidRPr="00BC3053">
        <w:rPr>
          <w:rFonts w:ascii="Century Gothic" w:hAnsi="Century Gothic"/>
          <w:sz w:val="24"/>
          <w:szCs w:val="24"/>
          <w:lang w:val="es-PR"/>
        </w:rPr>
        <w:t xml:space="preserve"> estructuras de pago.  </w:t>
      </w:r>
      <w:r w:rsidR="007D54A6" w:rsidRPr="00BC3053">
        <w:rPr>
          <w:rFonts w:ascii="Century Gothic" w:hAnsi="Century Gothic"/>
          <w:sz w:val="24"/>
          <w:szCs w:val="24"/>
          <w:lang w:val="es-PR"/>
        </w:rPr>
        <w:t>Para los trámites de declaración de estorbo público, se provee una serie de costos</w:t>
      </w:r>
      <w:r w:rsidR="00341848" w:rsidRPr="00BC3053">
        <w:rPr>
          <w:rStyle w:val="FootnoteReference"/>
          <w:rFonts w:ascii="Century Gothic" w:hAnsi="Century Gothic"/>
          <w:sz w:val="24"/>
          <w:szCs w:val="24"/>
          <w:lang w:val="es-PR"/>
        </w:rPr>
        <w:footnoteReference w:id="4"/>
      </w:r>
      <w:r w:rsidR="00341848" w:rsidRPr="00BC3053">
        <w:rPr>
          <w:rFonts w:ascii="Century Gothic" w:hAnsi="Century Gothic"/>
          <w:sz w:val="24"/>
          <w:szCs w:val="24"/>
          <w:lang w:val="es-PR"/>
        </w:rPr>
        <w:t xml:space="preserve">. Para las </w:t>
      </w:r>
      <w:r w:rsidR="00C95F5D" w:rsidRPr="00BC3053">
        <w:rPr>
          <w:rFonts w:ascii="Century Gothic" w:hAnsi="Century Gothic"/>
          <w:sz w:val="24"/>
          <w:szCs w:val="24"/>
          <w:lang w:val="es-PR"/>
        </w:rPr>
        <w:t xml:space="preserve"> “ventas judiciales” o “ventas en pública subasta” de las propiedades </w:t>
      </w:r>
      <w:r w:rsidR="005D5843" w:rsidRPr="00BC3053">
        <w:rPr>
          <w:rFonts w:ascii="Century Gothic" w:hAnsi="Century Gothic"/>
          <w:sz w:val="24"/>
          <w:szCs w:val="24"/>
          <w:lang w:val="es-PR"/>
        </w:rPr>
        <w:t xml:space="preserve">de las que advenga titular el municipio luego de una acción judicial de </w:t>
      </w:r>
      <w:r w:rsidR="00341848" w:rsidRPr="00BC3053">
        <w:rPr>
          <w:rFonts w:ascii="Century Gothic" w:hAnsi="Century Gothic"/>
          <w:sz w:val="24"/>
          <w:szCs w:val="24"/>
          <w:lang w:val="es-PR"/>
        </w:rPr>
        <w:t>ejecución por hipoteca tácita, e</w:t>
      </w:r>
      <w:r w:rsidR="00B21AA8" w:rsidRPr="00BC3053">
        <w:rPr>
          <w:rFonts w:ascii="Century Gothic" w:hAnsi="Century Gothic"/>
          <w:sz w:val="24"/>
          <w:szCs w:val="24"/>
          <w:lang w:val="es-PR"/>
        </w:rPr>
        <w:t>l m</w:t>
      </w:r>
      <w:r w:rsidR="005D5843" w:rsidRPr="00BC3053">
        <w:rPr>
          <w:rFonts w:ascii="Century Gothic" w:hAnsi="Century Gothic"/>
          <w:sz w:val="24"/>
          <w:szCs w:val="24"/>
          <w:lang w:val="es-PR"/>
        </w:rPr>
        <w:t xml:space="preserve">unicipio le confía  a Universal el cobro del dinero de la venta, y la empresa se compromete a depositarlo </w:t>
      </w:r>
      <w:r w:rsidR="00314B90" w:rsidRPr="00BC3053">
        <w:rPr>
          <w:rFonts w:ascii="Century Gothic" w:hAnsi="Century Gothic"/>
          <w:sz w:val="24"/>
          <w:szCs w:val="24"/>
          <w:lang w:val="es-PR"/>
        </w:rPr>
        <w:t>en una cuenta plica conforme l</w:t>
      </w:r>
      <w:r w:rsidR="005D5843" w:rsidRPr="00BC3053">
        <w:rPr>
          <w:rFonts w:ascii="Century Gothic" w:hAnsi="Century Gothic"/>
          <w:sz w:val="24"/>
          <w:szCs w:val="24"/>
          <w:lang w:val="es-PR"/>
        </w:rPr>
        <w:t xml:space="preserve">a Ley 10 del 1994, de la cual en </w:t>
      </w:r>
      <w:r w:rsidR="00314B90" w:rsidRPr="00BC3053">
        <w:rPr>
          <w:rFonts w:ascii="Century Gothic" w:hAnsi="Century Gothic"/>
          <w:sz w:val="24"/>
          <w:szCs w:val="24"/>
          <w:lang w:val="es-PR"/>
        </w:rPr>
        <w:t>primera instancia se reembolsarán los costos invertidos por El Contratado y la comisión según p</w:t>
      </w:r>
      <w:r w:rsidR="00680E6A" w:rsidRPr="00BC3053">
        <w:rPr>
          <w:rFonts w:ascii="Century Gothic" w:hAnsi="Century Gothic"/>
          <w:sz w:val="24"/>
          <w:szCs w:val="24"/>
          <w:lang w:val="es-PR"/>
        </w:rPr>
        <w:t>actado”</w:t>
      </w:r>
      <w:r w:rsidR="000549A6" w:rsidRPr="00BC3053">
        <w:rPr>
          <w:rFonts w:ascii="Century Gothic" w:hAnsi="Century Gothic"/>
          <w:sz w:val="24"/>
          <w:szCs w:val="24"/>
          <w:lang w:val="es-PR"/>
        </w:rPr>
        <w:t xml:space="preserve">. En </w:t>
      </w:r>
      <w:r w:rsidR="00C95F5D" w:rsidRPr="00BC3053">
        <w:rPr>
          <w:rFonts w:ascii="Century Gothic" w:hAnsi="Century Gothic"/>
          <w:sz w:val="24"/>
          <w:szCs w:val="24"/>
          <w:lang w:val="es-PR"/>
        </w:rPr>
        <w:t>el caso de las propiedades de la</w:t>
      </w:r>
      <w:r w:rsidR="00680E6A" w:rsidRPr="00BC3053">
        <w:rPr>
          <w:rFonts w:ascii="Century Gothic" w:hAnsi="Century Gothic"/>
          <w:sz w:val="24"/>
          <w:szCs w:val="24"/>
          <w:lang w:val="es-PR"/>
        </w:rPr>
        <w:t xml:space="preserve">s que se disponga mediante </w:t>
      </w:r>
      <w:r w:rsidR="00B21AA8" w:rsidRPr="00BC3053">
        <w:rPr>
          <w:rFonts w:ascii="Century Gothic" w:hAnsi="Century Gothic"/>
          <w:sz w:val="24"/>
          <w:szCs w:val="24"/>
          <w:lang w:val="es-PR"/>
        </w:rPr>
        <w:t>venta</w:t>
      </w:r>
      <w:r w:rsidR="00C95F5D" w:rsidRPr="00BC3053">
        <w:rPr>
          <w:rFonts w:ascii="Century Gothic" w:hAnsi="Century Gothic"/>
          <w:sz w:val="24"/>
          <w:szCs w:val="24"/>
          <w:lang w:val="es-PR"/>
        </w:rPr>
        <w:t xml:space="preserve"> judicial,</w:t>
      </w:r>
      <w:r w:rsidR="000549A6" w:rsidRPr="00BC3053">
        <w:rPr>
          <w:rFonts w:ascii="Century Gothic" w:hAnsi="Century Gothic"/>
          <w:sz w:val="24"/>
          <w:szCs w:val="24"/>
          <w:lang w:val="es-PR"/>
        </w:rPr>
        <w:t xml:space="preserve"> se fija una comisión, pagadera cuando “se materialice la venta de las propiedades declaradas estorbos públicos y se reciba el recaudo de la transacción”, y clasificada de la siguiente manera: $5,000 por “propiedad residencial”, $5,000 por “propiedad comercial o mixta”, $3,000 por “propiedad solar o finca” y el 6% de cada propiedad industrial. </w:t>
      </w:r>
      <w:r w:rsidR="00AA26EE" w:rsidRPr="00BC3053">
        <w:rPr>
          <w:rFonts w:ascii="Century Gothic" w:hAnsi="Century Gothic"/>
          <w:sz w:val="24"/>
          <w:szCs w:val="24"/>
          <w:lang w:val="es-PR"/>
        </w:rPr>
        <w:t xml:space="preserve"> </w:t>
      </w:r>
      <w:r w:rsidR="000549A6" w:rsidRPr="00BC3053">
        <w:rPr>
          <w:rFonts w:ascii="Century Gothic" w:hAnsi="Century Gothic"/>
          <w:sz w:val="24"/>
          <w:szCs w:val="24"/>
          <w:lang w:val="es-PR"/>
        </w:rPr>
        <w:t xml:space="preserve">Se asegura que </w:t>
      </w:r>
      <w:r w:rsidR="00AA26EE" w:rsidRPr="00BC3053">
        <w:rPr>
          <w:rFonts w:ascii="Century Gothic" w:hAnsi="Century Gothic"/>
          <w:sz w:val="24"/>
          <w:szCs w:val="24"/>
          <w:lang w:val="es-PR"/>
        </w:rPr>
        <w:t>el contrato “no requiere obligación de fondos dado el carácter suspensivo de los servicios a prestarse”</w:t>
      </w:r>
      <w:r w:rsidR="007D54A6" w:rsidRPr="00BC3053">
        <w:rPr>
          <w:rFonts w:ascii="Century Gothic" w:hAnsi="Century Gothic"/>
          <w:sz w:val="24"/>
          <w:szCs w:val="24"/>
          <w:lang w:val="es-PR"/>
        </w:rPr>
        <w:t xml:space="preserve">. El Municipio garantiza “hacer las gestiones necesarias” para la venta de un mínimo del 75% de las propiedades declaradas estorbos públicos, pero si no las vende y decide alquilarla,  Universal se convertirá en  agente de bienes raíces. </w:t>
      </w:r>
    </w:p>
    <w:p w14:paraId="51AFC1D3" w14:textId="7059C51D" w:rsidR="000549A6" w:rsidRPr="00BC3053" w:rsidRDefault="00C95F5D" w:rsidP="00A7757B">
      <w:pPr>
        <w:spacing w:line="240" w:lineRule="auto"/>
        <w:ind w:firstLine="360"/>
        <w:jc w:val="both"/>
        <w:rPr>
          <w:rFonts w:ascii="Century Gothic" w:hAnsi="Century Gothic"/>
          <w:sz w:val="24"/>
          <w:szCs w:val="24"/>
          <w:lang w:val="es-PR"/>
        </w:rPr>
      </w:pPr>
      <w:r w:rsidRPr="00BC3053">
        <w:rPr>
          <w:rFonts w:ascii="Century Gothic" w:hAnsi="Century Gothic"/>
          <w:sz w:val="24"/>
          <w:szCs w:val="24"/>
          <w:lang w:val="es-PR"/>
        </w:rPr>
        <w:t>En el caso de las propiedad</w:t>
      </w:r>
      <w:r w:rsidR="00341848" w:rsidRPr="00BC3053">
        <w:rPr>
          <w:rFonts w:ascii="Century Gothic" w:hAnsi="Century Gothic"/>
          <w:sz w:val="24"/>
          <w:szCs w:val="24"/>
          <w:lang w:val="es-PR"/>
        </w:rPr>
        <w:t xml:space="preserve">es declaradas estorbos públicos, Universal cobrará los gastos que sean reembolsables de las gestiones que realice para la declaración, compraventa o expropiación. </w:t>
      </w:r>
      <w:r w:rsidR="00D849DA" w:rsidRPr="00BC3053">
        <w:rPr>
          <w:rFonts w:ascii="Century Gothic" w:hAnsi="Century Gothic"/>
          <w:sz w:val="24"/>
          <w:szCs w:val="24"/>
          <w:lang w:val="es-PR"/>
        </w:rPr>
        <w:t>De los contratos examinados, el del Municipio de Caguas dispone que “el dinero requerido a los terceros para comenzar un trámite de expropiación en su beneficio se depositará en la cuenta que el</w:t>
      </w:r>
      <w:r w:rsidR="00930CB3" w:rsidRPr="00BC3053">
        <w:rPr>
          <w:rFonts w:ascii="Century Gothic" w:hAnsi="Century Gothic"/>
          <w:sz w:val="24"/>
          <w:szCs w:val="24"/>
          <w:lang w:val="es-PR"/>
        </w:rPr>
        <w:t xml:space="preserve"> Municipio asigne a esos fines’.  La cláusula no consta en otros contratos. En varias propuestas presentadas por Universal a los Municipios, se hace constar que “en el proceso de expropiación forzosa se contemplan </w:t>
      </w:r>
      <w:r w:rsidR="00930CB3" w:rsidRPr="00BC3053">
        <w:rPr>
          <w:rFonts w:ascii="Century Gothic" w:hAnsi="Century Gothic"/>
          <w:b/>
          <w:sz w:val="24"/>
          <w:szCs w:val="24"/>
          <w:lang w:val="es-PR"/>
        </w:rPr>
        <w:t>las propiedades declaradas ya estorbo público</w:t>
      </w:r>
      <w:r w:rsidR="00930CB3" w:rsidRPr="00BC3053">
        <w:rPr>
          <w:rFonts w:ascii="Century Gothic" w:hAnsi="Century Gothic"/>
          <w:sz w:val="24"/>
          <w:szCs w:val="24"/>
          <w:lang w:val="es-PR"/>
        </w:rPr>
        <w:t xml:space="preserve">”. </w:t>
      </w:r>
    </w:p>
    <w:p w14:paraId="60A9494D" w14:textId="202AE9C6" w:rsidR="00D1556B" w:rsidRPr="00BC3053" w:rsidRDefault="00C73CC0" w:rsidP="00776F00">
      <w:pPr>
        <w:ind w:firstLine="720"/>
        <w:jc w:val="both"/>
        <w:rPr>
          <w:rFonts w:ascii="Century Gothic" w:hAnsi="Century Gothic" w:cs="BookAntiqua"/>
          <w:kern w:val="0"/>
          <w:sz w:val="24"/>
          <w:szCs w:val="24"/>
          <w:lang w:val="es-PR"/>
        </w:rPr>
      </w:pPr>
      <w:r w:rsidRPr="00BC3053">
        <w:rPr>
          <w:rFonts w:ascii="Century Gothic" w:hAnsi="Century Gothic" w:cs="BookAntiqua"/>
          <w:kern w:val="0"/>
          <w:sz w:val="24"/>
          <w:szCs w:val="24"/>
          <w:lang w:val="es-PR"/>
        </w:rPr>
        <w:t>Como consecuencia</w:t>
      </w:r>
      <w:r w:rsidR="00B606DD" w:rsidRPr="00BC3053">
        <w:rPr>
          <w:rFonts w:ascii="Century Gothic" w:hAnsi="Century Gothic" w:cs="BookAntiqua"/>
          <w:kern w:val="0"/>
          <w:sz w:val="24"/>
          <w:szCs w:val="24"/>
          <w:lang w:val="es-PR"/>
        </w:rPr>
        <w:t xml:space="preserve"> del manejo de los programas de estorbos públicos</w:t>
      </w:r>
      <w:r w:rsidR="00680E6A" w:rsidRPr="00BC3053">
        <w:rPr>
          <w:rFonts w:ascii="Century Gothic" w:hAnsi="Century Gothic" w:cs="BookAntiqua"/>
          <w:kern w:val="0"/>
          <w:sz w:val="24"/>
          <w:szCs w:val="24"/>
          <w:lang w:val="es-PR"/>
        </w:rPr>
        <w:t xml:space="preserve"> por esas privatizadoras</w:t>
      </w:r>
      <w:r w:rsidR="00930CB3" w:rsidRPr="00BC3053">
        <w:rPr>
          <w:rFonts w:ascii="Century Gothic" w:hAnsi="Century Gothic" w:cs="BookAntiqua"/>
          <w:kern w:val="0"/>
          <w:sz w:val="24"/>
          <w:szCs w:val="24"/>
          <w:lang w:val="es-PR"/>
        </w:rPr>
        <w:t xml:space="preserve">, </w:t>
      </w:r>
      <w:r w:rsidRPr="00BC3053">
        <w:rPr>
          <w:rFonts w:ascii="Century Gothic" w:hAnsi="Century Gothic" w:cs="BookAntiqua"/>
          <w:kern w:val="0"/>
          <w:sz w:val="24"/>
          <w:szCs w:val="24"/>
          <w:lang w:val="es-PR"/>
        </w:rPr>
        <w:t xml:space="preserve"> </w:t>
      </w:r>
      <w:r w:rsidR="00B21AA8" w:rsidRPr="00BC3053">
        <w:rPr>
          <w:rFonts w:ascii="Century Gothic" w:hAnsi="Century Gothic" w:cs="BookAntiqua"/>
          <w:kern w:val="0"/>
          <w:sz w:val="24"/>
          <w:szCs w:val="24"/>
          <w:lang w:val="es-PR"/>
        </w:rPr>
        <w:t>tanto m</w:t>
      </w:r>
      <w:r w:rsidR="00D1556B" w:rsidRPr="00BC3053">
        <w:rPr>
          <w:rFonts w:ascii="Century Gothic" w:hAnsi="Century Gothic" w:cs="BookAntiqua"/>
          <w:kern w:val="0"/>
          <w:sz w:val="24"/>
          <w:szCs w:val="24"/>
          <w:lang w:val="es-PR"/>
        </w:rPr>
        <w:t>unicipios contratantes como personas afectadas p</w:t>
      </w:r>
      <w:r w:rsidR="00680E6A" w:rsidRPr="00BC3053">
        <w:rPr>
          <w:rFonts w:ascii="Century Gothic" w:hAnsi="Century Gothic" w:cs="BookAntiqua"/>
          <w:kern w:val="0"/>
          <w:sz w:val="24"/>
          <w:szCs w:val="24"/>
          <w:lang w:val="es-PR"/>
        </w:rPr>
        <w:t xml:space="preserve">or prácticas cuestionables </w:t>
      </w:r>
      <w:r w:rsidR="00D1556B" w:rsidRPr="00BC3053">
        <w:rPr>
          <w:rFonts w:ascii="Century Gothic" w:hAnsi="Century Gothic" w:cs="BookAntiqua"/>
          <w:kern w:val="0"/>
          <w:sz w:val="24"/>
          <w:szCs w:val="24"/>
          <w:lang w:val="es-PR"/>
        </w:rPr>
        <w:t>han acudido al foro judic</w:t>
      </w:r>
      <w:r w:rsidR="00930CB3" w:rsidRPr="00BC3053">
        <w:rPr>
          <w:rFonts w:ascii="Century Gothic" w:hAnsi="Century Gothic" w:cs="BookAntiqua"/>
          <w:kern w:val="0"/>
          <w:sz w:val="24"/>
          <w:szCs w:val="24"/>
          <w:lang w:val="es-PR"/>
        </w:rPr>
        <w:t xml:space="preserve">ial. </w:t>
      </w:r>
      <w:r w:rsidR="00D1556B" w:rsidRPr="00BC3053">
        <w:rPr>
          <w:rFonts w:ascii="Century Gothic" w:hAnsi="Century Gothic" w:cs="BookAntiqua"/>
          <w:kern w:val="0"/>
          <w:sz w:val="24"/>
          <w:szCs w:val="24"/>
          <w:lang w:val="es-PR"/>
        </w:rPr>
        <w:t>Es precisamente a través de información provista por</w:t>
      </w:r>
      <w:r w:rsidR="006B2018" w:rsidRPr="00BC3053">
        <w:rPr>
          <w:rFonts w:ascii="Century Gothic" w:hAnsi="Century Gothic" w:cs="BookAntiqua"/>
          <w:kern w:val="0"/>
          <w:sz w:val="24"/>
          <w:szCs w:val="24"/>
          <w:lang w:val="es-PR"/>
        </w:rPr>
        <w:t xml:space="preserve"> personas afectadas que nuestras </w:t>
      </w:r>
      <w:r w:rsidR="00D1556B" w:rsidRPr="00BC3053">
        <w:rPr>
          <w:rFonts w:ascii="Century Gothic" w:hAnsi="Century Gothic" w:cs="BookAntiqua"/>
          <w:kern w:val="0"/>
          <w:sz w:val="24"/>
          <w:szCs w:val="24"/>
          <w:lang w:val="es-PR"/>
        </w:rPr>
        <w:t>oficina</w:t>
      </w:r>
      <w:r w:rsidR="006B2018" w:rsidRPr="00BC3053">
        <w:rPr>
          <w:rFonts w:ascii="Century Gothic" w:hAnsi="Century Gothic" w:cs="BookAntiqua"/>
          <w:kern w:val="0"/>
          <w:sz w:val="24"/>
          <w:szCs w:val="24"/>
          <w:lang w:val="es-PR"/>
        </w:rPr>
        <w:t xml:space="preserve">s han </w:t>
      </w:r>
      <w:r w:rsidR="00D1556B" w:rsidRPr="00BC3053">
        <w:rPr>
          <w:rFonts w:ascii="Century Gothic" w:hAnsi="Century Gothic" w:cs="BookAntiqua"/>
          <w:kern w:val="0"/>
          <w:sz w:val="24"/>
          <w:szCs w:val="24"/>
          <w:lang w:val="es-PR"/>
        </w:rPr>
        <w:t>advenido en conocimiento de los asuntos que</w:t>
      </w:r>
      <w:r w:rsidR="006B2018" w:rsidRPr="00BC3053">
        <w:rPr>
          <w:rFonts w:ascii="Century Gothic" w:hAnsi="Century Gothic" w:cs="BookAntiqua"/>
          <w:kern w:val="0"/>
          <w:sz w:val="24"/>
          <w:szCs w:val="24"/>
          <w:lang w:val="es-PR"/>
        </w:rPr>
        <w:t xml:space="preserve"> a través de la presente traemos </w:t>
      </w:r>
      <w:r w:rsidR="00D1556B" w:rsidRPr="00BC3053">
        <w:rPr>
          <w:rFonts w:ascii="Century Gothic" w:hAnsi="Century Gothic" w:cs="BookAntiqua"/>
          <w:kern w:val="0"/>
          <w:sz w:val="24"/>
          <w:szCs w:val="24"/>
          <w:lang w:val="es-PR"/>
        </w:rPr>
        <w:t xml:space="preserve">a su consideración. </w:t>
      </w:r>
    </w:p>
    <w:p w14:paraId="3A3104D2" w14:textId="4BFAF217" w:rsidR="00993749" w:rsidRPr="00BC3053" w:rsidRDefault="00DF5655" w:rsidP="00776F00">
      <w:pPr>
        <w:ind w:firstLine="720"/>
        <w:jc w:val="both"/>
        <w:rPr>
          <w:rFonts w:ascii="Century Gothic" w:hAnsi="Century Gothic" w:cs="BookAntiqua"/>
          <w:kern w:val="0"/>
          <w:sz w:val="24"/>
          <w:szCs w:val="24"/>
          <w:lang w:val="es-PR"/>
        </w:rPr>
      </w:pPr>
      <w:r w:rsidRPr="00BC3053">
        <w:rPr>
          <w:rFonts w:ascii="Century Gothic" w:hAnsi="Century Gothic" w:cs="BookAntiqua"/>
          <w:kern w:val="0"/>
          <w:sz w:val="24"/>
          <w:szCs w:val="24"/>
          <w:lang w:val="es-PR"/>
        </w:rPr>
        <w:lastRenderedPageBreak/>
        <w:t xml:space="preserve">Conforme a la información que obtuvimos de expedientes de </w:t>
      </w:r>
      <w:r w:rsidR="00E04694" w:rsidRPr="00BC3053">
        <w:rPr>
          <w:rFonts w:ascii="Century Gothic" w:hAnsi="Century Gothic" w:cs="BookAntiqua"/>
          <w:kern w:val="0"/>
          <w:sz w:val="24"/>
          <w:szCs w:val="24"/>
          <w:lang w:val="es-PR"/>
        </w:rPr>
        <w:t xml:space="preserve">los </w:t>
      </w:r>
      <w:r w:rsidRPr="00BC3053">
        <w:rPr>
          <w:rFonts w:ascii="Century Gothic" w:hAnsi="Century Gothic" w:cs="BookAntiqua"/>
          <w:kern w:val="0"/>
          <w:sz w:val="24"/>
          <w:szCs w:val="24"/>
          <w:lang w:val="es-PR"/>
        </w:rPr>
        <w:t xml:space="preserve">casos judiciales, entendemos </w:t>
      </w:r>
      <w:r w:rsidR="00D1556B" w:rsidRPr="00BC3053">
        <w:rPr>
          <w:rFonts w:ascii="Century Gothic" w:hAnsi="Century Gothic" w:cs="BookAntiqua"/>
          <w:kern w:val="0"/>
          <w:sz w:val="24"/>
          <w:szCs w:val="24"/>
          <w:lang w:val="es-PR"/>
        </w:rPr>
        <w:t>que existen severas irregularidades que ameritan la intervención</w:t>
      </w:r>
      <w:r w:rsidR="00B21AA8" w:rsidRPr="00BC3053">
        <w:rPr>
          <w:rFonts w:ascii="Century Gothic" w:hAnsi="Century Gothic" w:cs="BookAntiqua"/>
          <w:kern w:val="0"/>
          <w:sz w:val="24"/>
          <w:szCs w:val="24"/>
          <w:lang w:val="es-PR"/>
        </w:rPr>
        <w:t xml:space="preserve"> del Departamento de Justicia y la Oficina de la Contralora. Ciertas prácticas revelan además </w:t>
      </w:r>
      <w:r w:rsidR="00930CB3" w:rsidRPr="00BC3053">
        <w:rPr>
          <w:rFonts w:ascii="Century Gothic" w:hAnsi="Century Gothic" w:cs="BookAntiqua"/>
          <w:kern w:val="0"/>
          <w:sz w:val="24"/>
          <w:szCs w:val="24"/>
          <w:lang w:val="es-PR"/>
        </w:rPr>
        <w:t xml:space="preserve">un manejo impropio de fondos públicos </w:t>
      </w:r>
      <w:r w:rsidR="00A41CA6" w:rsidRPr="00BC3053">
        <w:rPr>
          <w:rFonts w:ascii="Century Gothic" w:hAnsi="Century Gothic" w:cs="BookAntiqua"/>
          <w:kern w:val="0"/>
          <w:sz w:val="24"/>
          <w:szCs w:val="24"/>
          <w:lang w:val="es-PR"/>
        </w:rPr>
        <w:t>y deben ser corregidas por los m</w:t>
      </w:r>
      <w:r w:rsidR="00930CB3" w:rsidRPr="00BC3053">
        <w:rPr>
          <w:rFonts w:ascii="Century Gothic" w:hAnsi="Century Gothic" w:cs="BookAntiqua"/>
          <w:kern w:val="0"/>
          <w:sz w:val="24"/>
          <w:szCs w:val="24"/>
          <w:lang w:val="es-PR"/>
        </w:rPr>
        <w:t xml:space="preserve">unicipios. Hemos identificado intervenciones indebidas con el derecho constitucional a la propiedad privada; violaciones  a disposiciones del Código Municipal; posible comisión de delitos tipificados en el Código Penal; infracciones a la Ley 10 del 1994, conocida como Ley para Reglamentar el Negocio de Bienes Raíces, y faltas a los Cánones de Ética Profesional de la Abogacía. </w:t>
      </w:r>
      <w:r w:rsidR="00E37784" w:rsidRPr="00BC3053">
        <w:rPr>
          <w:rFonts w:ascii="Century Gothic" w:hAnsi="Century Gothic" w:cs="BookAntiqua"/>
          <w:kern w:val="0"/>
          <w:sz w:val="24"/>
          <w:szCs w:val="24"/>
          <w:lang w:val="es-PR"/>
        </w:rPr>
        <w:t xml:space="preserve"> </w:t>
      </w:r>
    </w:p>
    <w:p w14:paraId="2E612012" w14:textId="7807B079" w:rsidR="00A634FD" w:rsidRPr="00BC3053" w:rsidRDefault="00930CB3" w:rsidP="00776F00">
      <w:pPr>
        <w:ind w:firstLine="720"/>
        <w:jc w:val="both"/>
        <w:rPr>
          <w:rFonts w:ascii="Century Gothic" w:hAnsi="Century Gothic" w:cs="BookAntiqua"/>
          <w:b/>
          <w:sz w:val="24"/>
          <w:szCs w:val="24"/>
          <w:lang w:val="es-PR"/>
        </w:rPr>
      </w:pPr>
      <w:r w:rsidRPr="00BC3053">
        <w:rPr>
          <w:rFonts w:ascii="Century Gothic" w:hAnsi="Century Gothic" w:cs="BookAntiqua"/>
          <w:kern w:val="0"/>
          <w:sz w:val="24"/>
          <w:szCs w:val="24"/>
          <w:lang w:val="es-PR"/>
        </w:rPr>
        <w:t xml:space="preserve">Comenzamos con un ejemplo del </w:t>
      </w:r>
      <w:r w:rsidR="00A634FD" w:rsidRPr="00BC3053">
        <w:rPr>
          <w:rFonts w:ascii="Century Gothic" w:hAnsi="Century Gothic" w:cs="BookAntiqua"/>
          <w:b/>
          <w:sz w:val="24"/>
          <w:szCs w:val="24"/>
          <w:lang w:val="es-PR"/>
        </w:rPr>
        <w:t xml:space="preserve"> Municipio de Juncos</w:t>
      </w:r>
      <w:r w:rsidR="00A634FD" w:rsidRPr="00BC3053">
        <w:rPr>
          <w:rFonts w:ascii="Century Gothic" w:hAnsi="Century Gothic" w:cs="BookAntiqua"/>
          <w:sz w:val="24"/>
          <w:szCs w:val="24"/>
          <w:lang w:val="es-PR"/>
        </w:rPr>
        <w:t>:</w:t>
      </w:r>
    </w:p>
    <w:p w14:paraId="2167280A" w14:textId="2898A67C" w:rsidR="00F67186" w:rsidRPr="00BC3053" w:rsidRDefault="00A634FD" w:rsidP="00776F00">
      <w:pPr>
        <w:ind w:firstLine="720"/>
        <w:jc w:val="both"/>
        <w:rPr>
          <w:rFonts w:ascii="Century Gothic" w:hAnsi="Century Gothic" w:cs="BookAntiqua"/>
          <w:sz w:val="24"/>
          <w:szCs w:val="24"/>
          <w:lang w:val="es-PR"/>
        </w:rPr>
      </w:pPr>
      <w:r w:rsidRPr="00BC3053">
        <w:rPr>
          <w:rFonts w:ascii="Century Gothic" w:hAnsi="Century Gothic" w:cs="BookAntiqua"/>
          <w:sz w:val="24"/>
          <w:szCs w:val="24"/>
          <w:lang w:val="es-PR"/>
        </w:rPr>
        <w:t xml:space="preserve">A finales del año 2020, el Alcalde de Juncos se comprometió con una ciudadana para ayudarla a adquirir una residencia que, se le dijo a la ciudadana, sería declarada estorbo público. Para iniciar el proceso, </w:t>
      </w:r>
      <w:r w:rsidR="00680E6A" w:rsidRPr="00BC3053">
        <w:rPr>
          <w:rFonts w:ascii="Century Gothic" w:hAnsi="Century Gothic" w:cs="BookAntiqua"/>
          <w:sz w:val="24"/>
          <w:szCs w:val="24"/>
          <w:lang w:val="es-PR"/>
        </w:rPr>
        <w:t xml:space="preserve">el Alcalde </w:t>
      </w:r>
      <w:r w:rsidRPr="00BC3053">
        <w:rPr>
          <w:rFonts w:ascii="Century Gothic" w:hAnsi="Century Gothic" w:cs="BookAntiqua"/>
          <w:sz w:val="24"/>
          <w:szCs w:val="24"/>
          <w:lang w:val="es-PR"/>
        </w:rPr>
        <w:t xml:space="preserve">la refirió a la oficina municipal del CRIM. Pasados varios días, a través de llamada telefónica, le dijeron primero que el valor era de $18,000 y luego que era de $10,000. El 14 de mayo de  2021, siguiendo indicaciones de personal del Municipio la ciudadana acudió a la Alcaldía con un cheque de gerente </w:t>
      </w:r>
      <w:r w:rsidRPr="00BC3053">
        <w:rPr>
          <w:rFonts w:ascii="Century Gothic" w:hAnsi="Century Gothic" w:cs="BookAntiqua"/>
          <w:b/>
          <w:sz w:val="24"/>
          <w:szCs w:val="24"/>
          <w:lang w:val="es-PR"/>
        </w:rPr>
        <w:t>a nombre de Universal</w:t>
      </w:r>
      <w:r w:rsidRPr="00BC3053">
        <w:rPr>
          <w:rFonts w:ascii="Century Gothic" w:hAnsi="Century Gothic" w:cs="BookAntiqua"/>
          <w:sz w:val="24"/>
          <w:szCs w:val="24"/>
          <w:lang w:val="es-PR"/>
        </w:rPr>
        <w:t>, por la cantidad de $10,000, el cual fue  recibido por el Sr. José A. Deyá, quien firm</w:t>
      </w:r>
      <w:r w:rsidR="00F67186" w:rsidRPr="00BC3053">
        <w:rPr>
          <w:rFonts w:ascii="Century Gothic" w:hAnsi="Century Gothic" w:cs="BookAntiqua"/>
          <w:sz w:val="24"/>
          <w:szCs w:val="24"/>
          <w:lang w:val="es-PR"/>
        </w:rPr>
        <w:t xml:space="preserve">ó e hizo firmar a la ciudadana un documento (con membrete del Municipio) titulado “Contrato para la expropiación y adquisición de Propiedad del Programa de Estorbos Públicos del Municipio de Juncos”, en el que él compareció </w:t>
      </w:r>
      <w:r w:rsidRPr="00BC3053">
        <w:rPr>
          <w:rFonts w:ascii="Century Gothic" w:hAnsi="Century Gothic" w:cs="BookAntiqua"/>
          <w:sz w:val="24"/>
          <w:szCs w:val="24"/>
          <w:lang w:val="es-PR"/>
        </w:rPr>
        <w:t xml:space="preserve"> como representante de Univer</w:t>
      </w:r>
      <w:r w:rsidR="00A41CA6" w:rsidRPr="00BC3053">
        <w:rPr>
          <w:rFonts w:ascii="Century Gothic" w:hAnsi="Century Gothic" w:cs="BookAntiqua"/>
          <w:sz w:val="24"/>
          <w:szCs w:val="24"/>
          <w:lang w:val="es-PR"/>
        </w:rPr>
        <w:t xml:space="preserve">sal y del Municipio de Juncos. </w:t>
      </w:r>
      <w:r w:rsidR="00F67186" w:rsidRPr="00BC3053">
        <w:rPr>
          <w:rFonts w:ascii="Century Gothic" w:hAnsi="Century Gothic" w:cs="BookAntiqua"/>
          <w:sz w:val="24"/>
          <w:szCs w:val="24"/>
          <w:lang w:val="es-PR"/>
        </w:rPr>
        <w:t xml:space="preserve"> </w:t>
      </w:r>
    </w:p>
    <w:p w14:paraId="0471A4FB" w14:textId="6C5CAE67" w:rsidR="00F67186" w:rsidRPr="00BC3053" w:rsidRDefault="00F67186" w:rsidP="00776F00">
      <w:pPr>
        <w:ind w:firstLine="720"/>
        <w:jc w:val="both"/>
        <w:rPr>
          <w:rFonts w:ascii="Century Gothic" w:hAnsi="Century Gothic" w:cs="BookAntiqua"/>
          <w:sz w:val="24"/>
          <w:szCs w:val="24"/>
          <w:lang w:val="es-PR"/>
        </w:rPr>
      </w:pPr>
      <w:r w:rsidRPr="00BC3053">
        <w:rPr>
          <w:rFonts w:ascii="Century Gothic" w:hAnsi="Century Gothic" w:cs="BookAntiqua"/>
          <w:sz w:val="24"/>
          <w:szCs w:val="24"/>
          <w:lang w:val="es-PR"/>
        </w:rPr>
        <w:t>En el contrato</w:t>
      </w:r>
      <w:r w:rsidR="00F83994" w:rsidRPr="00BC3053">
        <w:rPr>
          <w:rFonts w:ascii="Century Gothic" w:hAnsi="Century Gothic" w:cs="BookAntiqua"/>
          <w:sz w:val="24"/>
          <w:szCs w:val="24"/>
          <w:lang w:val="es-PR"/>
        </w:rPr>
        <w:t xml:space="preserve">, que es un contrato de adhesión, </w:t>
      </w:r>
      <w:r w:rsidRPr="00BC3053">
        <w:rPr>
          <w:rFonts w:ascii="Century Gothic" w:hAnsi="Century Gothic" w:cs="BookAntiqua"/>
          <w:sz w:val="24"/>
          <w:szCs w:val="24"/>
          <w:lang w:val="es-PR"/>
        </w:rPr>
        <w:t>se consignan, con ánimo de</w:t>
      </w:r>
      <w:r w:rsidR="005C226A" w:rsidRPr="00BC3053">
        <w:rPr>
          <w:rFonts w:ascii="Century Gothic" w:hAnsi="Century Gothic" w:cs="BookAntiqua"/>
          <w:sz w:val="24"/>
          <w:szCs w:val="24"/>
          <w:lang w:val="es-PR"/>
        </w:rPr>
        <w:t xml:space="preserve"> de</w:t>
      </w:r>
      <w:r w:rsidRPr="00BC3053">
        <w:rPr>
          <w:rFonts w:ascii="Century Gothic" w:hAnsi="Century Gothic" w:cs="BookAntiqua"/>
          <w:sz w:val="24"/>
          <w:szCs w:val="24"/>
          <w:lang w:val="es-PR"/>
        </w:rPr>
        <w:t>fraudar a la ciudada</w:t>
      </w:r>
      <w:r w:rsidR="00BC3053" w:rsidRPr="00BC3053">
        <w:rPr>
          <w:rFonts w:ascii="Century Gothic" w:hAnsi="Century Gothic" w:cs="BookAntiqua"/>
          <w:sz w:val="24"/>
          <w:szCs w:val="24"/>
          <w:lang w:val="es-PR"/>
        </w:rPr>
        <w:t>na, varios datos que a</w:t>
      </w:r>
      <w:r w:rsidR="00680E6A" w:rsidRPr="00BC3053">
        <w:rPr>
          <w:rFonts w:ascii="Century Gothic" w:hAnsi="Century Gothic" w:cs="BookAntiqua"/>
          <w:sz w:val="24"/>
          <w:szCs w:val="24"/>
          <w:lang w:val="es-PR"/>
        </w:rPr>
        <w:t xml:space="preserve"> Universal y </w:t>
      </w:r>
      <w:r w:rsidRPr="00BC3053">
        <w:rPr>
          <w:rFonts w:ascii="Century Gothic" w:hAnsi="Century Gothic" w:cs="BookAntiqua"/>
          <w:sz w:val="24"/>
          <w:szCs w:val="24"/>
          <w:lang w:val="es-PR"/>
        </w:rPr>
        <w:t xml:space="preserve">al Municipio, le constaban que eran falsos. Se establece, para comenzar, que </w:t>
      </w:r>
      <w:r w:rsidR="00BC3053" w:rsidRPr="00BC3053">
        <w:rPr>
          <w:rFonts w:ascii="Century Gothic" w:hAnsi="Century Gothic" w:cs="BookAntiqua"/>
          <w:sz w:val="24"/>
          <w:szCs w:val="24"/>
          <w:lang w:val="es-PR"/>
        </w:rPr>
        <w:t>“Universal</w:t>
      </w:r>
      <w:r w:rsidR="00F8572E" w:rsidRPr="00BC3053">
        <w:rPr>
          <w:rFonts w:ascii="Century Gothic" w:hAnsi="Century Gothic" w:cs="BookAntiqua"/>
          <w:sz w:val="24"/>
          <w:szCs w:val="24"/>
          <w:lang w:val="es-PR"/>
        </w:rPr>
        <w:t xml:space="preserve"> tiene disponible el Inventario de Propiedades Declaradas como Estorbo Público…el cual manifiesta haber cumplido con todos los requisitos de ley para ser declaradas estorbo público”…</w:t>
      </w:r>
      <w:r w:rsidRPr="00BC3053">
        <w:rPr>
          <w:rFonts w:ascii="Century Gothic" w:hAnsi="Century Gothic" w:cs="BookAntiqua"/>
          <w:sz w:val="24"/>
          <w:szCs w:val="24"/>
          <w:lang w:val="es-PR"/>
        </w:rPr>
        <w:t>“la Solicitante-Adquiriente interesa la propiedad declarada como estorbo público…con la siguiente descripción registral…”, cuando la realidad es que la propiedad no había sido declarada estorbo público. Se dispone, en la misma cláusula, que</w:t>
      </w:r>
      <w:r w:rsidR="00A634FD" w:rsidRPr="00BC3053">
        <w:rPr>
          <w:rFonts w:ascii="Century Gothic" w:hAnsi="Century Gothic" w:cs="BookAntiqua"/>
          <w:sz w:val="24"/>
          <w:szCs w:val="24"/>
          <w:lang w:val="es-PR"/>
        </w:rPr>
        <w:t xml:space="preserve"> “</w:t>
      </w:r>
      <w:r w:rsidR="00A634FD" w:rsidRPr="00BC3053">
        <w:rPr>
          <w:rFonts w:ascii="Century Gothic" w:hAnsi="Century Gothic" w:cs="BookAntiqua"/>
          <w:i/>
          <w:sz w:val="24"/>
          <w:szCs w:val="24"/>
          <w:lang w:val="es-PR"/>
        </w:rPr>
        <w:t>Las partes aseguran y afirman la vigencia del informe de tasación a la firma del presente contrato”</w:t>
      </w:r>
      <w:r w:rsidR="00A634FD" w:rsidRPr="00BC3053">
        <w:rPr>
          <w:rFonts w:ascii="Century Gothic" w:hAnsi="Century Gothic" w:cs="BookAntiqua"/>
          <w:sz w:val="24"/>
          <w:szCs w:val="24"/>
          <w:lang w:val="es-PR"/>
        </w:rPr>
        <w:t xml:space="preserve">, </w:t>
      </w:r>
      <w:r w:rsidRPr="00BC3053">
        <w:rPr>
          <w:rFonts w:ascii="Century Gothic" w:hAnsi="Century Gothic" w:cs="BookAntiqua"/>
          <w:sz w:val="24"/>
          <w:szCs w:val="24"/>
          <w:lang w:val="es-PR"/>
        </w:rPr>
        <w:t xml:space="preserve">cuando no se presentó </w:t>
      </w:r>
      <w:r w:rsidR="00A634FD" w:rsidRPr="00BC3053">
        <w:rPr>
          <w:rFonts w:ascii="Century Gothic" w:hAnsi="Century Gothic" w:cs="BookAntiqua"/>
          <w:sz w:val="24"/>
          <w:szCs w:val="24"/>
          <w:lang w:val="es-PR"/>
        </w:rPr>
        <w:t xml:space="preserve"> y entendemos que no existía ningún informe de tasación</w:t>
      </w:r>
      <w:r w:rsidRPr="00BC3053">
        <w:rPr>
          <w:rFonts w:ascii="Century Gothic" w:hAnsi="Century Gothic" w:cs="BookAntiqua"/>
          <w:sz w:val="24"/>
          <w:szCs w:val="24"/>
          <w:lang w:val="es-PR"/>
        </w:rPr>
        <w:t>. Se advirtió que</w:t>
      </w:r>
      <w:r w:rsidR="00A634FD" w:rsidRPr="00BC3053">
        <w:rPr>
          <w:rFonts w:ascii="Century Gothic" w:hAnsi="Century Gothic" w:cs="BookAntiqua"/>
          <w:sz w:val="24"/>
          <w:szCs w:val="24"/>
          <w:lang w:val="es-PR"/>
        </w:rPr>
        <w:t xml:space="preserve"> “</w:t>
      </w:r>
      <w:r w:rsidR="00A634FD" w:rsidRPr="00BC3053">
        <w:rPr>
          <w:rFonts w:ascii="Century Gothic" w:hAnsi="Century Gothic" w:cs="BookAntiqua"/>
          <w:i/>
          <w:sz w:val="24"/>
          <w:szCs w:val="24"/>
          <w:lang w:val="es-PR"/>
        </w:rPr>
        <w:t>Bajo ningún concepto se reembolsará dinero consignado a “Universal” y el “Municipio” para la adquisición de la propiedad…</w:t>
      </w:r>
      <w:r w:rsidR="00A634FD" w:rsidRPr="00BC3053">
        <w:rPr>
          <w:rFonts w:ascii="Century Gothic" w:hAnsi="Century Gothic" w:cs="BookAntiqua"/>
          <w:sz w:val="24"/>
          <w:szCs w:val="24"/>
          <w:lang w:val="es-PR"/>
        </w:rPr>
        <w:t xml:space="preserve"> </w:t>
      </w:r>
      <w:r w:rsidRPr="00BC3053">
        <w:rPr>
          <w:rFonts w:ascii="Century Gothic" w:hAnsi="Century Gothic" w:cs="BookAntiqua"/>
          <w:sz w:val="24"/>
          <w:szCs w:val="24"/>
          <w:lang w:val="es-PR"/>
        </w:rPr>
        <w:t>“, siendo esa disposició</w:t>
      </w:r>
      <w:r w:rsidR="00266C36" w:rsidRPr="00BC3053">
        <w:rPr>
          <w:rFonts w:ascii="Century Gothic" w:hAnsi="Century Gothic" w:cs="BookAntiqua"/>
          <w:sz w:val="24"/>
          <w:szCs w:val="24"/>
          <w:lang w:val="es-PR"/>
        </w:rPr>
        <w:t>n claramente contraria a la ley y al orden público.</w:t>
      </w:r>
      <w:r w:rsidRPr="00BC3053">
        <w:rPr>
          <w:rFonts w:ascii="Century Gothic" w:hAnsi="Century Gothic" w:cs="BookAntiqua"/>
          <w:sz w:val="24"/>
          <w:szCs w:val="24"/>
          <w:lang w:val="es-PR"/>
        </w:rPr>
        <w:t xml:space="preserve"> Para rematar, el Municipio y Universal privan a la ciudadana de acceso a los tribunales con una cláusula que </w:t>
      </w:r>
      <w:r w:rsidRPr="00BC3053">
        <w:rPr>
          <w:rFonts w:ascii="Century Gothic" w:hAnsi="Century Gothic" w:cs="BookAntiqua"/>
          <w:sz w:val="24"/>
          <w:szCs w:val="24"/>
          <w:lang w:val="es-PR"/>
        </w:rPr>
        <w:lastRenderedPageBreak/>
        <w:t>dispone que</w:t>
      </w:r>
      <w:r w:rsidR="00A634FD" w:rsidRPr="00BC3053">
        <w:rPr>
          <w:rFonts w:ascii="Century Gothic" w:hAnsi="Century Gothic" w:cs="BookAntiqua"/>
          <w:sz w:val="24"/>
          <w:szCs w:val="24"/>
          <w:lang w:val="es-PR"/>
        </w:rPr>
        <w:t xml:space="preserve"> “</w:t>
      </w:r>
      <w:r w:rsidR="00A634FD" w:rsidRPr="00BC3053">
        <w:rPr>
          <w:rFonts w:ascii="Century Gothic" w:hAnsi="Century Gothic" w:cs="BookAntiqua"/>
          <w:i/>
          <w:sz w:val="24"/>
          <w:szCs w:val="24"/>
          <w:lang w:val="es-PR"/>
        </w:rPr>
        <w:t>Toda controversia derivada de este contrato…será resuelta mediante arbitraje, siendo esta la jurisdicción primaria y exclusiva sobre las controversias que pudieran existir</w:t>
      </w:r>
      <w:r w:rsidR="00A634FD" w:rsidRPr="00BC3053">
        <w:rPr>
          <w:rFonts w:ascii="Century Gothic" w:hAnsi="Century Gothic" w:cs="BookAntiqua"/>
          <w:sz w:val="24"/>
          <w:szCs w:val="24"/>
          <w:lang w:val="es-PR"/>
        </w:rPr>
        <w:t xml:space="preserve">”. Ver </w:t>
      </w:r>
      <w:r w:rsidR="00A634FD" w:rsidRPr="00BC3053">
        <w:rPr>
          <w:rFonts w:ascii="Century Gothic" w:hAnsi="Century Gothic" w:cs="BookAntiqua"/>
          <w:i/>
          <w:iCs/>
          <w:sz w:val="24"/>
          <w:szCs w:val="24"/>
          <w:lang w:val="es-PR"/>
        </w:rPr>
        <w:t xml:space="preserve">Anejo </w:t>
      </w:r>
      <w:r w:rsidR="005C226A" w:rsidRPr="00BC3053">
        <w:rPr>
          <w:rFonts w:ascii="Century Gothic" w:hAnsi="Century Gothic" w:cs="BookAntiqua"/>
          <w:i/>
          <w:iCs/>
          <w:sz w:val="24"/>
          <w:szCs w:val="24"/>
          <w:lang w:val="es-PR"/>
        </w:rPr>
        <w:t>6</w:t>
      </w:r>
      <w:r w:rsidR="00A634FD" w:rsidRPr="00BC3053">
        <w:rPr>
          <w:rFonts w:ascii="Century Gothic" w:hAnsi="Century Gothic" w:cs="BookAntiqua"/>
          <w:sz w:val="24"/>
          <w:szCs w:val="24"/>
          <w:lang w:val="es-PR"/>
        </w:rPr>
        <w:t xml:space="preserve">, Contrato de Universal y ciudadana particular.  </w:t>
      </w:r>
    </w:p>
    <w:p w14:paraId="3BD8E904" w14:textId="52AD3067" w:rsidR="00A634FD" w:rsidRPr="00BC3053" w:rsidRDefault="00A634FD" w:rsidP="00776F00">
      <w:pPr>
        <w:ind w:firstLine="720"/>
        <w:jc w:val="both"/>
        <w:rPr>
          <w:rFonts w:ascii="Century Gothic" w:hAnsi="Century Gothic" w:cs="BookAntiqua"/>
          <w:sz w:val="24"/>
          <w:szCs w:val="24"/>
          <w:lang w:val="es-PR"/>
        </w:rPr>
      </w:pPr>
      <w:r w:rsidRPr="00BC3053">
        <w:rPr>
          <w:rFonts w:ascii="Century Gothic" w:hAnsi="Century Gothic" w:cs="BookAntiqua"/>
          <w:sz w:val="24"/>
          <w:szCs w:val="24"/>
          <w:lang w:val="es-PR"/>
        </w:rPr>
        <w:t>Pasaron los meses y no se adelantaba ningún trámite de la compra, hasta que a finales del año 2022, de la Alcaldía le informaron a la ciudadana que no podía concretarse el contrato</w:t>
      </w:r>
      <w:r w:rsidRPr="00BC3053">
        <w:rPr>
          <w:rFonts w:ascii="Century Gothic" w:hAnsi="Century Gothic" w:cs="BookAntiqua"/>
          <w:b/>
          <w:sz w:val="24"/>
          <w:szCs w:val="24"/>
          <w:lang w:val="es-PR"/>
        </w:rPr>
        <w:t xml:space="preserve"> porque la casa </w:t>
      </w:r>
      <w:r w:rsidR="00F67186" w:rsidRPr="00BC3053">
        <w:rPr>
          <w:rFonts w:ascii="Century Gothic" w:hAnsi="Century Gothic" w:cs="BookAntiqua"/>
          <w:b/>
          <w:sz w:val="24"/>
          <w:szCs w:val="24"/>
          <w:lang w:val="es-PR"/>
        </w:rPr>
        <w:t>que le habían prometi</w:t>
      </w:r>
      <w:r w:rsidR="002D79EB">
        <w:rPr>
          <w:rFonts w:ascii="Century Gothic" w:hAnsi="Century Gothic" w:cs="BookAntiqua"/>
          <w:b/>
          <w:sz w:val="24"/>
          <w:szCs w:val="24"/>
          <w:lang w:val="es-PR"/>
        </w:rPr>
        <w:t>do y por la cual habían recibi</w:t>
      </w:r>
      <w:r w:rsidR="00266C36" w:rsidRPr="00BC3053">
        <w:rPr>
          <w:rFonts w:ascii="Century Gothic" w:hAnsi="Century Gothic" w:cs="BookAntiqua"/>
          <w:b/>
          <w:sz w:val="24"/>
          <w:szCs w:val="24"/>
          <w:lang w:val="es-PR"/>
        </w:rPr>
        <w:t>do</w:t>
      </w:r>
      <w:r w:rsidR="00F67186" w:rsidRPr="00BC3053">
        <w:rPr>
          <w:rFonts w:ascii="Century Gothic" w:hAnsi="Century Gothic" w:cs="BookAntiqua"/>
          <w:b/>
          <w:sz w:val="24"/>
          <w:szCs w:val="24"/>
          <w:lang w:val="es-PR"/>
        </w:rPr>
        <w:t xml:space="preserve"> los $10,000 </w:t>
      </w:r>
      <w:r w:rsidRPr="00BC3053">
        <w:rPr>
          <w:rFonts w:ascii="Century Gothic" w:hAnsi="Century Gothic" w:cs="BookAntiqua"/>
          <w:b/>
          <w:sz w:val="24"/>
          <w:szCs w:val="24"/>
          <w:lang w:val="es-PR"/>
        </w:rPr>
        <w:t>era propiedad</w:t>
      </w:r>
      <w:r w:rsidR="00F67186" w:rsidRPr="00BC3053">
        <w:rPr>
          <w:rFonts w:ascii="Century Gothic" w:hAnsi="Century Gothic" w:cs="BookAntiqua"/>
          <w:b/>
          <w:sz w:val="24"/>
          <w:szCs w:val="24"/>
          <w:lang w:val="es-PR"/>
        </w:rPr>
        <w:t xml:space="preserve"> del Departamento de la Vivienda y no podían expropiarla. </w:t>
      </w:r>
      <w:r w:rsidR="00F67186" w:rsidRPr="00BC3053">
        <w:rPr>
          <w:rFonts w:ascii="Century Gothic" w:hAnsi="Century Gothic" w:cs="BookAntiqua"/>
          <w:sz w:val="24"/>
          <w:szCs w:val="24"/>
          <w:lang w:val="es-PR"/>
        </w:rPr>
        <w:t xml:space="preserve">Sin embargo, ni el Municipio ni Universal aceptaron devolver el dinero que ilegalmente habían recibido.  Apenas esta semana, luego de que visitara nuestra oficina, el Municipio se comprometió con la ciudadana a devolverle su dinero. </w:t>
      </w:r>
    </w:p>
    <w:p w14:paraId="1214CE05" w14:textId="1E27DBF4" w:rsidR="00F8572E" w:rsidRPr="00BC3053" w:rsidRDefault="00F8572E" w:rsidP="00776F00">
      <w:pPr>
        <w:ind w:firstLine="720"/>
        <w:jc w:val="both"/>
        <w:rPr>
          <w:rFonts w:ascii="Century Gothic" w:hAnsi="Century Gothic" w:cs="BookAntiqua"/>
          <w:sz w:val="24"/>
          <w:szCs w:val="24"/>
          <w:lang w:val="es-PR"/>
        </w:rPr>
      </w:pPr>
      <w:r w:rsidRPr="00BC3053">
        <w:rPr>
          <w:rFonts w:ascii="Century Gothic" w:hAnsi="Century Gothic" w:cs="BookAntiqua"/>
          <w:sz w:val="24"/>
          <w:szCs w:val="24"/>
          <w:lang w:val="es-PR"/>
        </w:rPr>
        <w:t>En este caso, s</w:t>
      </w:r>
      <w:r w:rsidR="00B36420" w:rsidRPr="00BC3053">
        <w:rPr>
          <w:rFonts w:ascii="Century Gothic" w:hAnsi="Century Gothic" w:cs="BookAntiqua"/>
          <w:sz w:val="24"/>
          <w:szCs w:val="24"/>
          <w:lang w:val="es-PR"/>
        </w:rPr>
        <w:t xml:space="preserve">e configuran los delitos </w:t>
      </w:r>
      <w:r w:rsidR="00776F00" w:rsidRPr="00BC3053">
        <w:rPr>
          <w:rFonts w:ascii="Century Gothic" w:hAnsi="Century Gothic" w:cs="BookAntiqua"/>
          <w:sz w:val="24"/>
          <w:szCs w:val="24"/>
          <w:lang w:val="es-PR"/>
        </w:rPr>
        <w:t xml:space="preserve">de </w:t>
      </w:r>
      <w:r w:rsidR="00776F00" w:rsidRPr="00BC3053">
        <w:rPr>
          <w:rFonts w:ascii="Century Gothic" w:hAnsi="Century Gothic" w:cs="BookAntiqua"/>
          <w:b/>
          <w:sz w:val="24"/>
          <w:szCs w:val="24"/>
          <w:lang w:val="es-PR"/>
        </w:rPr>
        <w:t>fraude</w:t>
      </w:r>
      <w:r w:rsidR="005A0724" w:rsidRPr="00BC3053">
        <w:rPr>
          <w:rFonts w:ascii="Century Gothic" w:hAnsi="Century Gothic" w:cs="BookAntiqua"/>
          <w:sz w:val="24"/>
          <w:szCs w:val="24"/>
          <w:lang w:val="es-PR"/>
        </w:rPr>
        <w:t xml:space="preserve"> (</w:t>
      </w:r>
      <w:r w:rsidR="00776F00" w:rsidRPr="00BC3053">
        <w:rPr>
          <w:rFonts w:ascii="Century Gothic" w:hAnsi="Century Gothic" w:cs="BookAntiqua"/>
          <w:sz w:val="24"/>
          <w:szCs w:val="24"/>
          <w:lang w:val="es-PR"/>
        </w:rPr>
        <w:t xml:space="preserve">Artículo 202 </w:t>
      </w:r>
      <w:r w:rsidR="005A0724" w:rsidRPr="00BC3053">
        <w:rPr>
          <w:rFonts w:ascii="Century Gothic" w:hAnsi="Century Gothic" w:cs="BookAntiqua"/>
          <w:sz w:val="24"/>
          <w:szCs w:val="24"/>
          <w:lang w:val="es-PR"/>
        </w:rPr>
        <w:t xml:space="preserve">del Código Penal, 33 LPRA 5272), </w:t>
      </w:r>
      <w:r w:rsidR="00776F00" w:rsidRPr="00BC3053">
        <w:rPr>
          <w:rFonts w:ascii="Century Gothic" w:hAnsi="Century Gothic" w:cs="BookAntiqua"/>
          <w:sz w:val="24"/>
          <w:szCs w:val="24"/>
          <w:lang w:val="es-PR"/>
        </w:rPr>
        <w:t xml:space="preserve"> de </w:t>
      </w:r>
      <w:r w:rsidR="00776F00" w:rsidRPr="00BC3053">
        <w:rPr>
          <w:rFonts w:ascii="Century Gothic" w:hAnsi="Century Gothic" w:cs="BookAntiqua"/>
          <w:b/>
          <w:sz w:val="24"/>
          <w:szCs w:val="24"/>
          <w:lang w:val="es-PR"/>
        </w:rPr>
        <w:t>falsedad ideológica</w:t>
      </w:r>
      <w:r w:rsidR="005A0724" w:rsidRPr="00BC3053">
        <w:rPr>
          <w:rFonts w:ascii="Century Gothic" w:hAnsi="Century Gothic" w:cs="BookAntiqua"/>
          <w:sz w:val="24"/>
          <w:szCs w:val="24"/>
          <w:lang w:val="es-PR"/>
        </w:rPr>
        <w:t xml:space="preserve"> (Artículo 212, 33 LPRA 5282) </w:t>
      </w:r>
      <w:r w:rsidR="005A0724" w:rsidRPr="00BC3053">
        <w:rPr>
          <w:rFonts w:ascii="Century Gothic" w:hAnsi="Century Gothic" w:cs="BookAntiqua"/>
          <w:sz w:val="24"/>
          <w:szCs w:val="24"/>
          <w:lang w:val="es-PR"/>
        </w:rPr>
        <w:t xml:space="preserve">y de </w:t>
      </w:r>
      <w:r w:rsidR="005A0724" w:rsidRPr="00BC3053">
        <w:rPr>
          <w:rFonts w:ascii="Century Gothic" w:hAnsi="Century Gothic" w:cs="BookAntiqua"/>
          <w:b/>
          <w:sz w:val="24"/>
          <w:szCs w:val="24"/>
          <w:lang w:val="es-PR"/>
        </w:rPr>
        <w:t>apropiación ilegal</w:t>
      </w:r>
      <w:r w:rsidR="005A0724" w:rsidRPr="00BC3053">
        <w:rPr>
          <w:rFonts w:ascii="Century Gothic" w:hAnsi="Century Gothic" w:cs="BookAntiqua"/>
          <w:sz w:val="24"/>
          <w:szCs w:val="24"/>
          <w:lang w:val="es-PR"/>
        </w:rPr>
        <w:t xml:space="preserve"> (Art</w:t>
      </w:r>
      <w:r w:rsidR="002D79EB">
        <w:rPr>
          <w:rFonts w:ascii="Century Gothic" w:hAnsi="Century Gothic" w:cs="BookAntiqua"/>
          <w:sz w:val="24"/>
          <w:szCs w:val="24"/>
          <w:lang w:val="es-PR"/>
        </w:rPr>
        <w:t>ículo 181, 33 LPRA 5251) o</w:t>
      </w:r>
      <w:r w:rsidR="002D79EB" w:rsidRPr="002D79EB">
        <w:rPr>
          <w:rFonts w:ascii="Century Gothic" w:hAnsi="Century Gothic" w:cs="BookAntiqua"/>
          <w:b/>
          <w:sz w:val="24"/>
          <w:szCs w:val="24"/>
          <w:lang w:val="es-PR"/>
        </w:rPr>
        <w:t xml:space="preserve"> apropiación ilegal agravada</w:t>
      </w:r>
      <w:r w:rsidR="002D79EB">
        <w:rPr>
          <w:rFonts w:ascii="Century Gothic" w:hAnsi="Century Gothic" w:cs="BookAntiqua"/>
          <w:sz w:val="24"/>
          <w:szCs w:val="24"/>
          <w:lang w:val="es-PR"/>
        </w:rPr>
        <w:t xml:space="preserve"> </w:t>
      </w:r>
      <w:r w:rsidR="005A0724" w:rsidRPr="00BC3053">
        <w:rPr>
          <w:rFonts w:ascii="Century Gothic" w:hAnsi="Century Gothic" w:cs="BookAntiqua"/>
          <w:sz w:val="24"/>
          <w:szCs w:val="24"/>
          <w:lang w:val="es-PR"/>
        </w:rPr>
        <w:t xml:space="preserve"> </w:t>
      </w:r>
      <w:r w:rsidR="002D79EB" w:rsidRPr="00BC3053">
        <w:rPr>
          <w:rFonts w:ascii="Century Gothic" w:hAnsi="Century Gothic" w:cs="BookAntiqua"/>
          <w:sz w:val="24"/>
          <w:szCs w:val="24"/>
          <w:lang w:val="es-PR"/>
        </w:rPr>
        <w:t>(Art</w:t>
      </w:r>
      <w:r w:rsidR="002D79EB">
        <w:rPr>
          <w:rFonts w:ascii="Century Gothic" w:hAnsi="Century Gothic" w:cs="BookAntiqua"/>
          <w:sz w:val="24"/>
          <w:szCs w:val="24"/>
          <w:lang w:val="es-PR"/>
        </w:rPr>
        <w:t>ículo 182, 33 LPRA 5252</w:t>
      </w:r>
      <w:r w:rsidR="002D79EB">
        <w:rPr>
          <w:rFonts w:ascii="Century Gothic" w:hAnsi="Century Gothic" w:cs="BookAntiqua"/>
          <w:sz w:val="24"/>
          <w:szCs w:val="24"/>
          <w:lang w:val="es-PR"/>
        </w:rPr>
        <w:t>)</w:t>
      </w:r>
      <w:r w:rsidR="002D79EB">
        <w:rPr>
          <w:rFonts w:ascii="Century Gothic" w:hAnsi="Century Gothic" w:cs="BookAntiqua"/>
          <w:sz w:val="24"/>
          <w:szCs w:val="24"/>
          <w:lang w:val="es-PR"/>
        </w:rPr>
        <w:t xml:space="preserve">. </w:t>
      </w:r>
    </w:p>
    <w:p w14:paraId="49BAF205" w14:textId="50ED4DC3" w:rsidR="002D79EB" w:rsidRPr="00BC3053" w:rsidRDefault="00F83994" w:rsidP="002D79EB">
      <w:pPr>
        <w:ind w:firstLine="720"/>
        <w:jc w:val="both"/>
        <w:rPr>
          <w:rFonts w:ascii="Century Gothic" w:hAnsi="Century Gothic" w:cs="BookAntiqua"/>
          <w:sz w:val="24"/>
          <w:szCs w:val="24"/>
          <w:lang w:val="es-PR"/>
        </w:rPr>
      </w:pPr>
      <w:r w:rsidRPr="00BC3053">
        <w:rPr>
          <w:rFonts w:ascii="Century Gothic" w:hAnsi="Century Gothic" w:cs="BookAntiqua"/>
          <w:sz w:val="24"/>
          <w:szCs w:val="24"/>
          <w:lang w:val="es-PR"/>
        </w:rPr>
        <w:t xml:space="preserve">No es ese el único caso en que Universal y el Municipio de Juncos  se comprometen a vender lo que no les pertenece y aceptan dinero de forma ilegal, negándose luego a devolverlo. Igual ocurrió en otro caso que involucra también al </w:t>
      </w:r>
      <w:r w:rsidRPr="00BC3053">
        <w:rPr>
          <w:rFonts w:ascii="Century Gothic" w:hAnsi="Century Gothic" w:cs="BookAntiqua"/>
          <w:b/>
          <w:sz w:val="24"/>
          <w:szCs w:val="24"/>
          <w:lang w:val="es-PR"/>
        </w:rPr>
        <w:t>Municipio de Las Piedras</w:t>
      </w:r>
      <w:r w:rsidRPr="00BC3053">
        <w:rPr>
          <w:rFonts w:ascii="Century Gothic" w:hAnsi="Century Gothic" w:cs="BookAntiqua"/>
          <w:sz w:val="24"/>
          <w:szCs w:val="24"/>
          <w:lang w:val="es-PR"/>
        </w:rPr>
        <w:t xml:space="preserve">. </w:t>
      </w:r>
      <w:r w:rsidR="005C6845" w:rsidRPr="00BC3053">
        <w:rPr>
          <w:rFonts w:ascii="Century Gothic" w:hAnsi="Century Gothic" w:cs="BookAntiqua"/>
          <w:sz w:val="24"/>
          <w:szCs w:val="24"/>
          <w:lang w:val="es-PR"/>
        </w:rPr>
        <w:t xml:space="preserve">Según se reseña en la Demanda presentada el 17 de septiembre de 2021 bajo el epígrafe </w:t>
      </w:r>
      <w:r w:rsidR="005C6845" w:rsidRPr="00BC3053">
        <w:rPr>
          <w:rFonts w:ascii="Century Gothic" w:hAnsi="Century Gothic" w:cs="BookAntiqua"/>
          <w:i/>
          <w:sz w:val="24"/>
          <w:szCs w:val="24"/>
          <w:lang w:val="es-PR"/>
        </w:rPr>
        <w:t xml:space="preserve">Alejandro </w:t>
      </w:r>
      <w:proofErr w:type="spellStart"/>
      <w:r w:rsidR="005C6845" w:rsidRPr="00BC3053">
        <w:rPr>
          <w:rFonts w:ascii="Century Gothic" w:hAnsi="Century Gothic" w:cs="BookAntiqua"/>
          <w:i/>
          <w:sz w:val="24"/>
          <w:szCs w:val="24"/>
          <w:lang w:val="es-PR"/>
        </w:rPr>
        <w:t>Investment</w:t>
      </w:r>
      <w:proofErr w:type="spellEnd"/>
      <w:r w:rsidR="005C6845" w:rsidRPr="00BC3053">
        <w:rPr>
          <w:rFonts w:ascii="Century Gothic" w:hAnsi="Century Gothic" w:cs="BookAntiqua"/>
          <w:i/>
          <w:sz w:val="24"/>
          <w:szCs w:val="24"/>
          <w:lang w:val="es-PR"/>
        </w:rPr>
        <w:t xml:space="preserve"> </w:t>
      </w:r>
      <w:proofErr w:type="spellStart"/>
      <w:r w:rsidR="005C6845" w:rsidRPr="00BC3053">
        <w:rPr>
          <w:rFonts w:ascii="Century Gothic" w:hAnsi="Century Gothic" w:cs="BookAntiqua"/>
          <w:i/>
          <w:sz w:val="24"/>
          <w:szCs w:val="24"/>
          <w:lang w:val="es-PR"/>
        </w:rPr>
        <w:t>Group</w:t>
      </w:r>
      <w:proofErr w:type="spellEnd"/>
      <w:r w:rsidR="005C6845" w:rsidRPr="00BC3053">
        <w:rPr>
          <w:rFonts w:ascii="Century Gothic" w:hAnsi="Century Gothic" w:cs="BookAntiqua"/>
          <w:i/>
          <w:sz w:val="24"/>
          <w:szCs w:val="24"/>
          <w:lang w:val="es-PR"/>
        </w:rPr>
        <w:t xml:space="preserve"> v. Universal </w:t>
      </w:r>
      <w:proofErr w:type="spellStart"/>
      <w:r w:rsidR="005C6845" w:rsidRPr="00BC3053">
        <w:rPr>
          <w:rFonts w:ascii="Century Gothic" w:hAnsi="Century Gothic" w:cs="BookAntiqua"/>
          <w:i/>
          <w:sz w:val="24"/>
          <w:szCs w:val="24"/>
          <w:lang w:val="es-PR"/>
        </w:rPr>
        <w:t>Properties</w:t>
      </w:r>
      <w:proofErr w:type="spellEnd"/>
      <w:r w:rsidR="005C6845" w:rsidRPr="00BC3053">
        <w:rPr>
          <w:rFonts w:ascii="Century Gothic" w:hAnsi="Century Gothic" w:cs="BookAntiqua"/>
          <w:i/>
          <w:sz w:val="24"/>
          <w:szCs w:val="24"/>
          <w:lang w:val="es-PR"/>
        </w:rPr>
        <w:t xml:space="preserve"> </w:t>
      </w:r>
      <w:proofErr w:type="spellStart"/>
      <w:r w:rsidR="005C6845" w:rsidRPr="00BC3053">
        <w:rPr>
          <w:rFonts w:ascii="Century Gothic" w:hAnsi="Century Gothic" w:cs="BookAntiqua"/>
          <w:i/>
          <w:sz w:val="24"/>
          <w:szCs w:val="24"/>
          <w:lang w:val="es-PR"/>
        </w:rPr>
        <w:t>Realty</w:t>
      </w:r>
      <w:proofErr w:type="spellEnd"/>
      <w:r w:rsidR="005C6845" w:rsidRPr="00BC3053">
        <w:rPr>
          <w:rFonts w:ascii="Century Gothic" w:hAnsi="Century Gothic" w:cs="BookAntiqua"/>
          <w:i/>
          <w:sz w:val="24"/>
          <w:szCs w:val="24"/>
          <w:lang w:val="es-PR"/>
        </w:rPr>
        <w:t xml:space="preserve"> </w:t>
      </w:r>
      <w:proofErr w:type="spellStart"/>
      <w:r w:rsidR="005C6845" w:rsidRPr="00BC3053">
        <w:rPr>
          <w:rFonts w:ascii="Century Gothic" w:hAnsi="Century Gothic" w:cs="BookAntiqua"/>
          <w:i/>
          <w:sz w:val="24"/>
          <w:szCs w:val="24"/>
          <w:lang w:val="es-PR"/>
        </w:rPr>
        <w:t>Government</w:t>
      </w:r>
      <w:proofErr w:type="spellEnd"/>
      <w:r w:rsidR="005C6845" w:rsidRPr="00BC3053">
        <w:rPr>
          <w:rFonts w:ascii="Century Gothic" w:hAnsi="Century Gothic" w:cs="BookAntiqua"/>
          <w:i/>
          <w:sz w:val="24"/>
          <w:szCs w:val="24"/>
          <w:lang w:val="es-PR"/>
        </w:rPr>
        <w:t xml:space="preserve"> </w:t>
      </w:r>
      <w:proofErr w:type="spellStart"/>
      <w:r w:rsidR="005C6845" w:rsidRPr="00BC3053">
        <w:rPr>
          <w:rFonts w:ascii="Century Gothic" w:hAnsi="Century Gothic" w:cs="BookAntiqua"/>
          <w:i/>
          <w:sz w:val="24"/>
          <w:szCs w:val="24"/>
          <w:lang w:val="es-PR"/>
        </w:rPr>
        <w:t>Services</w:t>
      </w:r>
      <w:proofErr w:type="spellEnd"/>
      <w:r w:rsidR="005C6845" w:rsidRPr="00BC3053">
        <w:rPr>
          <w:rFonts w:ascii="Century Gothic" w:hAnsi="Century Gothic" w:cs="BookAntiqua"/>
          <w:sz w:val="24"/>
          <w:szCs w:val="24"/>
          <w:lang w:val="es-PR"/>
        </w:rPr>
        <w:t xml:space="preserve"> y otros, (Caso Número </w:t>
      </w:r>
      <w:r w:rsidR="005C6845" w:rsidRPr="00BC3053">
        <w:rPr>
          <w:rFonts w:ascii="Century Gothic" w:hAnsi="Century Gothic" w:cs="Times New Roman"/>
          <w:sz w:val="24"/>
          <w:szCs w:val="24"/>
          <w:lang w:val="es-PR"/>
        </w:rPr>
        <w:t>SJ2021CV06016</w:t>
      </w:r>
      <w:r w:rsidR="00EF1B3A" w:rsidRPr="00BC3053">
        <w:rPr>
          <w:rFonts w:ascii="Century Gothic" w:hAnsi="Century Gothic" w:cs="Times New Roman"/>
          <w:sz w:val="24"/>
          <w:szCs w:val="24"/>
          <w:lang w:val="es-PR"/>
        </w:rPr>
        <w:t>),</w:t>
      </w:r>
      <w:r w:rsidR="00917753" w:rsidRPr="00BC3053">
        <w:rPr>
          <w:rFonts w:ascii="Century Gothic" w:hAnsi="Century Gothic" w:cs="Times New Roman"/>
          <w:sz w:val="24"/>
          <w:szCs w:val="24"/>
          <w:lang w:val="es-PR"/>
        </w:rPr>
        <w:t xml:space="preserve"> </w:t>
      </w:r>
      <w:r w:rsidR="00F8572E" w:rsidRPr="00BC3053">
        <w:rPr>
          <w:rFonts w:ascii="Century Gothic" w:hAnsi="Century Gothic" w:cs="Times New Roman"/>
          <w:sz w:val="24"/>
          <w:szCs w:val="24"/>
          <w:lang w:val="es-PR"/>
        </w:rPr>
        <w:t>en abril de ese año</w:t>
      </w:r>
      <w:r w:rsidR="00EF1B3A" w:rsidRPr="00BC3053">
        <w:rPr>
          <w:rFonts w:ascii="Century Gothic" w:hAnsi="Century Gothic" w:cs="Times New Roman"/>
          <w:sz w:val="24"/>
          <w:szCs w:val="24"/>
          <w:lang w:val="es-PR"/>
        </w:rPr>
        <w:t xml:space="preserve"> la parte demandante suscribió </w:t>
      </w:r>
      <w:r w:rsidR="005C6845" w:rsidRPr="00BC3053">
        <w:rPr>
          <w:rFonts w:ascii="Century Gothic" w:hAnsi="Century Gothic" w:cs="Times New Roman"/>
          <w:sz w:val="24"/>
          <w:szCs w:val="24"/>
          <w:lang w:val="es-PR"/>
        </w:rPr>
        <w:t xml:space="preserve">con Universal </w:t>
      </w:r>
      <w:proofErr w:type="spellStart"/>
      <w:r w:rsidR="005C6845" w:rsidRPr="00BC3053">
        <w:rPr>
          <w:rFonts w:ascii="Century Gothic" w:hAnsi="Century Gothic" w:cs="Times New Roman"/>
          <w:sz w:val="24"/>
          <w:szCs w:val="24"/>
          <w:lang w:val="es-PR"/>
        </w:rPr>
        <w:t>P</w:t>
      </w:r>
      <w:r w:rsidRPr="00BC3053">
        <w:rPr>
          <w:rFonts w:ascii="Century Gothic" w:hAnsi="Century Gothic" w:cs="Times New Roman"/>
          <w:sz w:val="24"/>
          <w:szCs w:val="24"/>
          <w:lang w:val="es-PR"/>
        </w:rPr>
        <w:t>r</w:t>
      </w:r>
      <w:r w:rsidR="005C6845" w:rsidRPr="00BC3053">
        <w:rPr>
          <w:rFonts w:ascii="Century Gothic" w:hAnsi="Century Gothic" w:cs="Times New Roman"/>
          <w:sz w:val="24"/>
          <w:szCs w:val="24"/>
          <w:lang w:val="es-PR"/>
        </w:rPr>
        <w:t>operties</w:t>
      </w:r>
      <w:proofErr w:type="spellEnd"/>
      <w:r w:rsidR="005C6845" w:rsidRPr="00BC3053">
        <w:rPr>
          <w:rFonts w:ascii="Century Gothic" w:hAnsi="Century Gothic" w:cs="Times New Roman"/>
          <w:sz w:val="24"/>
          <w:szCs w:val="24"/>
          <w:lang w:val="es-PR"/>
        </w:rPr>
        <w:t xml:space="preserve"> </w:t>
      </w:r>
      <w:r w:rsidR="00EF1B3A" w:rsidRPr="00BC3053">
        <w:rPr>
          <w:rFonts w:ascii="Century Gothic" w:hAnsi="Century Gothic" w:cs="Times New Roman"/>
          <w:sz w:val="24"/>
          <w:szCs w:val="24"/>
          <w:lang w:val="es-PR"/>
        </w:rPr>
        <w:t xml:space="preserve">nueve (9) contratos para Expropiación y Adquisición de Propiedad del Programa de Estorbos Públicos del Municipio de Juncos y dos </w:t>
      </w:r>
      <w:r w:rsidR="00A61335" w:rsidRPr="00BC3053">
        <w:rPr>
          <w:rFonts w:ascii="Century Gothic" w:hAnsi="Century Gothic" w:cs="Times New Roman"/>
          <w:sz w:val="24"/>
          <w:szCs w:val="24"/>
          <w:lang w:val="es-PR"/>
        </w:rPr>
        <w:t xml:space="preserve">(2) </w:t>
      </w:r>
      <w:r w:rsidR="00EF1B3A" w:rsidRPr="00BC3053">
        <w:rPr>
          <w:rFonts w:ascii="Century Gothic" w:hAnsi="Century Gothic" w:cs="Times New Roman"/>
          <w:sz w:val="24"/>
          <w:szCs w:val="24"/>
          <w:lang w:val="es-PR"/>
        </w:rPr>
        <w:t>contratos de la misma naturaleza con el Municipio de Las Piedras.</w:t>
      </w:r>
      <w:r w:rsidR="00000E85" w:rsidRPr="00BC3053">
        <w:rPr>
          <w:rFonts w:ascii="Century Gothic" w:hAnsi="Century Gothic" w:cs="Times New Roman"/>
          <w:i/>
          <w:sz w:val="24"/>
          <w:szCs w:val="24"/>
          <w:lang w:val="es-PR"/>
        </w:rPr>
        <w:t xml:space="preserve"> </w:t>
      </w:r>
      <w:r w:rsidR="00BC3053" w:rsidRPr="00BC3053">
        <w:rPr>
          <w:rFonts w:ascii="Century Gothic" w:hAnsi="Century Gothic" w:cs="Times New Roman"/>
          <w:i/>
          <w:sz w:val="24"/>
          <w:szCs w:val="24"/>
          <w:lang w:val="es-PR"/>
        </w:rPr>
        <w:t>Ver Anejo 7</w:t>
      </w:r>
      <w:r w:rsidR="00BC3053" w:rsidRPr="00BC3053">
        <w:rPr>
          <w:rFonts w:ascii="Century Gothic" w:hAnsi="Century Gothic" w:cs="Times New Roman"/>
          <w:sz w:val="24"/>
          <w:szCs w:val="24"/>
          <w:lang w:val="es-PR"/>
        </w:rPr>
        <w:t xml:space="preserve">. </w:t>
      </w:r>
      <w:r w:rsidR="00F8572E" w:rsidRPr="00BC3053">
        <w:rPr>
          <w:rFonts w:ascii="Century Gothic" w:hAnsi="Century Gothic" w:cs="Times New Roman"/>
          <w:sz w:val="24"/>
          <w:szCs w:val="24"/>
          <w:lang w:val="es-PR"/>
        </w:rPr>
        <w:t xml:space="preserve">Los contratos son iguales en formato y contenido al anteriormente reseñado, y de la misma manera representan, fraudulentamente, que cada propiedad que ofrecen al Solicitante Adquiriente fue ya “declarada estorbo público”. </w:t>
      </w:r>
      <w:r w:rsidR="00000E85" w:rsidRPr="00BC3053">
        <w:rPr>
          <w:rFonts w:ascii="Century Gothic" w:hAnsi="Century Gothic" w:cs="Times New Roman"/>
          <w:sz w:val="24"/>
          <w:szCs w:val="24"/>
          <w:lang w:val="es-PR"/>
        </w:rPr>
        <w:t>Ver</w:t>
      </w:r>
      <w:r w:rsidR="00F8572E" w:rsidRPr="00BC3053">
        <w:rPr>
          <w:rFonts w:ascii="Century Gothic" w:hAnsi="Century Gothic" w:cs="Times New Roman"/>
          <w:sz w:val="24"/>
          <w:szCs w:val="24"/>
          <w:lang w:val="es-PR"/>
        </w:rPr>
        <w:t xml:space="preserve"> como ejemplo el</w:t>
      </w:r>
      <w:r w:rsidR="00000E85" w:rsidRPr="00BC3053">
        <w:rPr>
          <w:rFonts w:ascii="Century Gothic" w:hAnsi="Century Gothic" w:cs="Times New Roman"/>
          <w:sz w:val="24"/>
          <w:szCs w:val="24"/>
          <w:lang w:val="es-PR"/>
        </w:rPr>
        <w:t xml:space="preserve"> </w:t>
      </w:r>
      <w:r w:rsidR="00000E85" w:rsidRPr="00BC3053">
        <w:rPr>
          <w:rFonts w:ascii="Century Gothic" w:hAnsi="Century Gothic" w:cs="Times New Roman"/>
          <w:i/>
          <w:iCs/>
          <w:sz w:val="24"/>
          <w:szCs w:val="24"/>
          <w:lang w:val="es-PR"/>
        </w:rPr>
        <w:t xml:space="preserve">Anejo </w:t>
      </w:r>
      <w:r w:rsidR="00917753" w:rsidRPr="00BC3053">
        <w:rPr>
          <w:rFonts w:ascii="Century Gothic" w:hAnsi="Century Gothic" w:cs="Times New Roman"/>
          <w:i/>
          <w:iCs/>
          <w:sz w:val="24"/>
          <w:szCs w:val="24"/>
          <w:lang w:val="es-PR"/>
        </w:rPr>
        <w:t>8</w:t>
      </w:r>
      <w:r w:rsidR="00000E85" w:rsidRPr="00BC3053">
        <w:rPr>
          <w:rFonts w:ascii="Century Gothic" w:hAnsi="Century Gothic" w:cs="Times New Roman"/>
          <w:sz w:val="24"/>
          <w:szCs w:val="24"/>
          <w:lang w:val="es-PR"/>
        </w:rPr>
        <w:t xml:space="preserve">, </w:t>
      </w:r>
      <w:r w:rsidR="00000E85" w:rsidRPr="00BC3053">
        <w:rPr>
          <w:rFonts w:ascii="Century Gothic" w:hAnsi="Century Gothic" w:cs="Times New Roman"/>
          <w:i/>
          <w:sz w:val="24"/>
          <w:szCs w:val="24"/>
          <w:lang w:val="es-PR"/>
        </w:rPr>
        <w:t xml:space="preserve">Contrato suscrito por Universal y Alejandro </w:t>
      </w:r>
      <w:proofErr w:type="spellStart"/>
      <w:r w:rsidR="00000E85" w:rsidRPr="00BC3053">
        <w:rPr>
          <w:rFonts w:ascii="Century Gothic" w:hAnsi="Century Gothic" w:cs="Times New Roman"/>
          <w:i/>
          <w:sz w:val="24"/>
          <w:szCs w:val="24"/>
          <w:lang w:val="es-PR"/>
        </w:rPr>
        <w:t>Inves</w:t>
      </w:r>
      <w:r w:rsidR="00134A6F" w:rsidRPr="00BC3053">
        <w:rPr>
          <w:rFonts w:ascii="Century Gothic" w:hAnsi="Century Gothic" w:cs="Times New Roman"/>
          <w:i/>
          <w:sz w:val="24"/>
          <w:szCs w:val="24"/>
          <w:lang w:val="es-PR"/>
        </w:rPr>
        <w:t>tment</w:t>
      </w:r>
      <w:proofErr w:type="spellEnd"/>
      <w:r w:rsidR="00000E85" w:rsidRPr="00BC3053">
        <w:rPr>
          <w:rFonts w:ascii="Century Gothic" w:hAnsi="Century Gothic" w:cs="Times New Roman"/>
          <w:sz w:val="24"/>
          <w:szCs w:val="24"/>
          <w:lang w:val="es-PR"/>
        </w:rPr>
        <w:t xml:space="preserve">. </w:t>
      </w:r>
      <w:r w:rsidR="00F8572E" w:rsidRPr="00BC3053">
        <w:rPr>
          <w:rFonts w:ascii="Century Gothic" w:hAnsi="Century Gothic" w:cs="Times New Roman"/>
          <w:sz w:val="24"/>
          <w:szCs w:val="24"/>
          <w:lang w:val="es-PR"/>
        </w:rPr>
        <w:t xml:space="preserve">Universal, nuevamente </w:t>
      </w:r>
      <w:r w:rsidR="00EF1B3A" w:rsidRPr="00BC3053">
        <w:rPr>
          <w:rFonts w:ascii="Century Gothic" w:hAnsi="Century Gothic" w:cs="Times New Roman"/>
          <w:sz w:val="24"/>
          <w:szCs w:val="24"/>
          <w:lang w:val="es-PR"/>
        </w:rPr>
        <w:t>identificándose como r</w:t>
      </w:r>
      <w:r w:rsidR="00F8572E" w:rsidRPr="00BC3053">
        <w:rPr>
          <w:rFonts w:ascii="Century Gothic" w:hAnsi="Century Gothic" w:cs="Times New Roman"/>
          <w:sz w:val="24"/>
          <w:szCs w:val="24"/>
          <w:lang w:val="es-PR"/>
        </w:rPr>
        <w:t xml:space="preserve">epresentante de los Municipios, </w:t>
      </w:r>
      <w:r w:rsidR="00EF1B3A" w:rsidRPr="00BC3053">
        <w:rPr>
          <w:rFonts w:ascii="Century Gothic" w:hAnsi="Century Gothic" w:cs="Times New Roman"/>
          <w:sz w:val="24"/>
          <w:szCs w:val="24"/>
          <w:lang w:val="es-PR"/>
        </w:rPr>
        <w:t>se comprometía a iniciar el proceso de expropiación de aquellas propiedades qu</w:t>
      </w:r>
      <w:r w:rsidR="00F8572E" w:rsidRPr="00BC3053">
        <w:rPr>
          <w:rFonts w:ascii="Century Gothic" w:hAnsi="Century Gothic" w:cs="Times New Roman"/>
          <w:sz w:val="24"/>
          <w:szCs w:val="24"/>
          <w:lang w:val="es-PR"/>
        </w:rPr>
        <w:t>e la parte demandante interesaba,</w:t>
      </w:r>
      <w:r w:rsidR="00EF1B3A" w:rsidRPr="00BC3053">
        <w:rPr>
          <w:rFonts w:ascii="Century Gothic" w:hAnsi="Century Gothic" w:cs="Times New Roman"/>
          <w:sz w:val="24"/>
          <w:szCs w:val="24"/>
          <w:lang w:val="es-PR"/>
        </w:rPr>
        <w:t xml:space="preserve"> realizar todos los trámites necesarios para ello, y entonces transferirlas al demandante. Para ello, </w:t>
      </w:r>
      <w:r w:rsidR="00F8572E" w:rsidRPr="00BC3053">
        <w:rPr>
          <w:rFonts w:ascii="Century Gothic" w:hAnsi="Century Gothic" w:cs="Times New Roman"/>
          <w:sz w:val="24"/>
          <w:szCs w:val="24"/>
          <w:lang w:val="es-PR"/>
        </w:rPr>
        <w:t xml:space="preserve">en esta ocasión </w:t>
      </w:r>
      <w:r w:rsidR="00EF1B3A" w:rsidRPr="00BC3053">
        <w:rPr>
          <w:rFonts w:ascii="Century Gothic" w:hAnsi="Century Gothic" w:cs="Times New Roman"/>
          <w:b/>
          <w:sz w:val="24"/>
          <w:szCs w:val="24"/>
          <w:lang w:val="es-PR"/>
        </w:rPr>
        <w:t>el Sr. Simón Fernández, agente de bienes raíces de Universal, solicitó a la parte demandante: (a) un cheque por $230,000 a favor de Universal y otro por $18,000 a nombre del propio Fernández por concepto de “comisión”, para la adquisición de 6 propiedades en Juncos y (b) tres cheques de $14,000, $124,00</w:t>
      </w:r>
      <w:r w:rsidR="00307B71" w:rsidRPr="00BC3053">
        <w:rPr>
          <w:rFonts w:ascii="Century Gothic" w:hAnsi="Century Gothic" w:cs="Times New Roman"/>
          <w:b/>
          <w:sz w:val="24"/>
          <w:szCs w:val="24"/>
          <w:lang w:val="es-PR"/>
        </w:rPr>
        <w:t>0</w:t>
      </w:r>
      <w:r w:rsidR="00EF1B3A" w:rsidRPr="00BC3053">
        <w:rPr>
          <w:rFonts w:ascii="Century Gothic" w:hAnsi="Century Gothic" w:cs="Times New Roman"/>
          <w:b/>
          <w:sz w:val="24"/>
          <w:szCs w:val="24"/>
          <w:lang w:val="es-PR"/>
        </w:rPr>
        <w:t xml:space="preserve"> y $40,000, </w:t>
      </w:r>
      <w:r w:rsidR="00EF1B3A" w:rsidRPr="00BC3053">
        <w:rPr>
          <w:rFonts w:ascii="Century Gothic" w:hAnsi="Century Gothic" w:cs="Times New Roman"/>
          <w:b/>
          <w:sz w:val="24"/>
          <w:szCs w:val="24"/>
          <w:lang w:val="es-PR"/>
        </w:rPr>
        <w:lastRenderedPageBreak/>
        <w:t>respectivamente a nombre de Universal y otro de $15,000 para Fernández</w:t>
      </w:r>
      <w:r w:rsidR="00EF1B3A" w:rsidRPr="00BC3053">
        <w:rPr>
          <w:rFonts w:ascii="Century Gothic" w:hAnsi="Century Gothic" w:cs="Times New Roman"/>
          <w:sz w:val="24"/>
          <w:szCs w:val="24"/>
          <w:lang w:val="es-PR"/>
        </w:rPr>
        <w:t>, como parte de la</w:t>
      </w:r>
      <w:r w:rsidR="00000E85" w:rsidRPr="00BC3053">
        <w:rPr>
          <w:rFonts w:ascii="Century Gothic" w:hAnsi="Century Gothic" w:cs="Times New Roman"/>
          <w:sz w:val="24"/>
          <w:szCs w:val="24"/>
          <w:lang w:val="es-PR"/>
        </w:rPr>
        <w:t xml:space="preserve"> oferta por cinco propiedades en</w:t>
      </w:r>
      <w:r w:rsidR="00EF1B3A" w:rsidRPr="00BC3053">
        <w:rPr>
          <w:rFonts w:ascii="Century Gothic" w:hAnsi="Century Gothic" w:cs="Times New Roman"/>
          <w:sz w:val="24"/>
          <w:szCs w:val="24"/>
          <w:lang w:val="es-PR"/>
        </w:rPr>
        <w:t xml:space="preserve"> Las Piedras y Juncos. </w:t>
      </w:r>
      <w:r w:rsidR="00000E85" w:rsidRPr="00BC3053">
        <w:rPr>
          <w:rFonts w:ascii="Century Gothic" w:hAnsi="Century Gothic" w:cs="Times New Roman"/>
          <w:b/>
          <w:sz w:val="24"/>
          <w:szCs w:val="24"/>
          <w:lang w:val="es-PR"/>
        </w:rPr>
        <w:t>Ni</w:t>
      </w:r>
      <w:r w:rsidR="002654D3" w:rsidRPr="00BC3053">
        <w:rPr>
          <w:rFonts w:ascii="Century Gothic" w:hAnsi="Century Gothic" w:cs="Times New Roman"/>
          <w:b/>
          <w:sz w:val="24"/>
          <w:szCs w:val="24"/>
          <w:lang w:val="es-PR"/>
        </w:rPr>
        <w:t xml:space="preserve">nguno de los cheques </w:t>
      </w:r>
      <w:r w:rsidR="00000E85" w:rsidRPr="00BC3053">
        <w:rPr>
          <w:rFonts w:ascii="Century Gothic" w:hAnsi="Century Gothic" w:cs="Times New Roman"/>
          <w:b/>
          <w:sz w:val="24"/>
          <w:szCs w:val="24"/>
          <w:lang w:val="es-PR"/>
        </w:rPr>
        <w:t xml:space="preserve">fue depositado en un cuenta plica, como ordena la Ley </w:t>
      </w:r>
      <w:r w:rsidR="00134A6F" w:rsidRPr="00BC3053">
        <w:rPr>
          <w:rFonts w:ascii="Century Gothic" w:hAnsi="Century Gothic" w:cs="Times New Roman"/>
          <w:b/>
          <w:sz w:val="24"/>
          <w:szCs w:val="24"/>
          <w:lang w:val="es-PR"/>
        </w:rPr>
        <w:t>Número</w:t>
      </w:r>
      <w:r w:rsidR="00000E85" w:rsidRPr="00BC3053">
        <w:rPr>
          <w:rFonts w:ascii="Century Gothic" w:hAnsi="Century Gothic" w:cs="Times New Roman"/>
          <w:b/>
          <w:sz w:val="24"/>
          <w:szCs w:val="24"/>
          <w:lang w:val="es-PR"/>
        </w:rPr>
        <w:t xml:space="preserve"> 10</w:t>
      </w:r>
      <w:r w:rsidR="00307B71" w:rsidRPr="00BC3053">
        <w:rPr>
          <w:rFonts w:ascii="Century Gothic" w:hAnsi="Century Gothic" w:cs="Times New Roman"/>
          <w:b/>
          <w:sz w:val="24"/>
          <w:szCs w:val="24"/>
          <w:lang w:val="es-PR"/>
        </w:rPr>
        <w:t xml:space="preserve"> </w:t>
      </w:r>
      <w:r w:rsidR="00000E85" w:rsidRPr="00BC3053">
        <w:rPr>
          <w:rFonts w:ascii="Century Gothic" w:hAnsi="Century Gothic" w:cs="Times New Roman"/>
          <w:b/>
          <w:sz w:val="24"/>
          <w:szCs w:val="24"/>
          <w:lang w:val="es-PR"/>
        </w:rPr>
        <w:t>del 26 de abril de 1994, conocida como</w:t>
      </w:r>
      <w:r w:rsidR="00000E85" w:rsidRPr="00BC3053">
        <w:rPr>
          <w:rFonts w:ascii="Century Gothic" w:hAnsi="Century Gothic" w:cs="Times New Roman"/>
          <w:b/>
          <w:i/>
          <w:sz w:val="24"/>
          <w:szCs w:val="24"/>
          <w:lang w:val="es-PR"/>
        </w:rPr>
        <w:t xml:space="preserve"> Ley para Reglamentar el Negocio de Bienes Raíces y la Profesión de Corredor, Vendedor o Empresa de Bienes Raíces en Puerto Rico</w:t>
      </w:r>
      <w:r w:rsidR="002654D3" w:rsidRPr="00BC3053">
        <w:rPr>
          <w:rFonts w:ascii="Century Gothic" w:hAnsi="Century Gothic" w:cs="Times New Roman"/>
          <w:b/>
          <w:i/>
          <w:sz w:val="24"/>
          <w:szCs w:val="24"/>
          <w:lang w:val="es-PR"/>
        </w:rPr>
        <w:t xml:space="preserve"> ni en cuentas de los Municipios representados por Universal</w:t>
      </w:r>
      <w:r w:rsidR="00000E85" w:rsidRPr="00BC3053">
        <w:rPr>
          <w:rFonts w:ascii="Century Gothic" w:hAnsi="Century Gothic" w:cs="Times New Roman"/>
          <w:b/>
          <w:sz w:val="24"/>
          <w:szCs w:val="24"/>
          <w:lang w:val="es-PR"/>
        </w:rPr>
        <w:t>.</w:t>
      </w:r>
      <w:r w:rsidR="00F8572E" w:rsidRPr="00BC3053">
        <w:rPr>
          <w:rFonts w:ascii="Century Gothic" w:hAnsi="Century Gothic" w:cs="Times New Roman"/>
          <w:b/>
          <w:sz w:val="24"/>
          <w:szCs w:val="24"/>
          <w:lang w:val="es-PR"/>
        </w:rPr>
        <w:t xml:space="preserve"> </w:t>
      </w:r>
      <w:r w:rsidR="00F8572E" w:rsidRPr="00BC3053">
        <w:rPr>
          <w:rFonts w:ascii="Century Gothic" w:hAnsi="Century Gothic" w:cs="Times New Roman"/>
          <w:sz w:val="24"/>
          <w:szCs w:val="24"/>
          <w:lang w:val="es-PR"/>
        </w:rPr>
        <w:t xml:space="preserve">Una vez </w:t>
      </w:r>
      <w:r w:rsidR="00BC3053" w:rsidRPr="00BC3053">
        <w:rPr>
          <w:rFonts w:ascii="Century Gothic" w:hAnsi="Century Gothic" w:cs="Times New Roman"/>
          <w:sz w:val="24"/>
          <w:szCs w:val="24"/>
          <w:lang w:val="es-PR"/>
        </w:rPr>
        <w:t xml:space="preserve">descubierto que las </w:t>
      </w:r>
      <w:proofErr w:type="gramStart"/>
      <w:r w:rsidR="00BC3053" w:rsidRPr="00BC3053">
        <w:rPr>
          <w:rFonts w:ascii="Century Gothic" w:hAnsi="Century Gothic" w:cs="Times New Roman"/>
          <w:sz w:val="24"/>
          <w:szCs w:val="24"/>
          <w:lang w:val="es-PR"/>
        </w:rPr>
        <w:t>propiedades</w:t>
      </w:r>
      <w:r w:rsidR="00BC3053">
        <w:rPr>
          <w:rFonts w:ascii="Century Gothic" w:hAnsi="Century Gothic" w:cs="Times New Roman"/>
          <w:sz w:val="24"/>
          <w:szCs w:val="24"/>
          <w:lang w:val="es-PR"/>
        </w:rPr>
        <w:t xml:space="preserve"> </w:t>
      </w:r>
      <w:r w:rsidR="00BC3053" w:rsidRPr="00BC3053">
        <w:rPr>
          <w:rFonts w:ascii="Century Gothic" w:hAnsi="Century Gothic" w:cs="Times New Roman"/>
          <w:sz w:val="24"/>
          <w:szCs w:val="24"/>
          <w:lang w:val="es-PR"/>
        </w:rPr>
        <w:t>”</w:t>
      </w:r>
      <w:proofErr w:type="gramEnd"/>
      <w:r w:rsidR="00F8572E" w:rsidRPr="00BC3053">
        <w:rPr>
          <w:rFonts w:ascii="Century Gothic" w:hAnsi="Century Gothic" w:cs="Times New Roman"/>
          <w:sz w:val="24"/>
          <w:szCs w:val="24"/>
          <w:lang w:val="es-PR"/>
        </w:rPr>
        <w:t xml:space="preserve">ni siquiera </w:t>
      </w:r>
      <w:r w:rsidR="00A61335" w:rsidRPr="00BC3053">
        <w:rPr>
          <w:rFonts w:ascii="Century Gothic" w:hAnsi="Century Gothic" w:cs="Times New Roman"/>
          <w:sz w:val="24"/>
          <w:szCs w:val="24"/>
          <w:lang w:val="es-PR"/>
        </w:rPr>
        <w:t>cumplían con los requisitos para ser declarada</w:t>
      </w:r>
      <w:r w:rsidR="00F8572E" w:rsidRPr="00BC3053">
        <w:rPr>
          <w:rFonts w:ascii="Century Gothic" w:hAnsi="Century Gothic" w:cs="Times New Roman"/>
          <w:sz w:val="24"/>
          <w:szCs w:val="24"/>
          <w:lang w:val="es-PR"/>
        </w:rPr>
        <w:t>s estorbos públicos”</w:t>
      </w:r>
      <w:r w:rsidR="00A61335" w:rsidRPr="00BC3053">
        <w:rPr>
          <w:rFonts w:ascii="Century Gothic" w:hAnsi="Century Gothic" w:cs="Times New Roman"/>
          <w:sz w:val="24"/>
          <w:szCs w:val="24"/>
          <w:lang w:val="es-PR"/>
        </w:rPr>
        <w:t xml:space="preserve"> el demandante solicitó </w:t>
      </w:r>
      <w:r w:rsidR="00BC3053">
        <w:rPr>
          <w:rFonts w:ascii="Century Gothic" w:hAnsi="Century Gothic" w:cs="Times New Roman"/>
          <w:sz w:val="24"/>
          <w:szCs w:val="24"/>
          <w:lang w:val="es-PR"/>
        </w:rPr>
        <w:t>la devolución de sus $441,000</w:t>
      </w:r>
      <w:r w:rsidR="00A61335" w:rsidRPr="00BC3053">
        <w:rPr>
          <w:rFonts w:ascii="Century Gothic" w:hAnsi="Century Gothic" w:cs="Times New Roman"/>
          <w:sz w:val="24"/>
          <w:szCs w:val="24"/>
          <w:lang w:val="es-PR"/>
        </w:rPr>
        <w:t xml:space="preserve">, depositados en cuentas particulares, y no del Municipio o cuentas plica. Universal accedió, según consta en carta suscrita por el Lcdo. Abraham Freyre, en su carácter de director de la división </w:t>
      </w:r>
      <w:r w:rsidR="00BC3053" w:rsidRPr="00BC3053">
        <w:rPr>
          <w:rFonts w:ascii="Century Gothic" w:hAnsi="Century Gothic" w:cs="Times New Roman"/>
          <w:sz w:val="24"/>
          <w:szCs w:val="24"/>
          <w:lang w:val="es-PR"/>
        </w:rPr>
        <w:t>legal de la empresa,</w:t>
      </w:r>
      <w:r w:rsidR="00172F62" w:rsidRPr="00BC3053">
        <w:rPr>
          <w:rFonts w:ascii="Century Gothic" w:hAnsi="Century Gothic" w:cs="Times New Roman"/>
          <w:sz w:val="24"/>
          <w:szCs w:val="24"/>
          <w:lang w:val="es-PR"/>
        </w:rPr>
        <w:t xml:space="preserve"> </w:t>
      </w:r>
      <w:r w:rsidR="00BC3053" w:rsidRPr="00BC3053">
        <w:rPr>
          <w:rFonts w:ascii="Century Gothic" w:hAnsi="Century Gothic" w:cs="Times New Roman"/>
          <w:sz w:val="24"/>
          <w:szCs w:val="24"/>
          <w:lang w:val="es-PR"/>
        </w:rPr>
        <w:t>pero cumplieron con una devolución parcial, lo que provocó la rad</w:t>
      </w:r>
      <w:r w:rsidR="00BC3053" w:rsidRPr="00BC3053">
        <w:rPr>
          <w:rFonts w:ascii="Century Gothic" w:hAnsi="Century Gothic" w:cs="Times New Roman"/>
          <w:sz w:val="24"/>
          <w:szCs w:val="24"/>
          <w:lang w:val="es-PR"/>
        </w:rPr>
        <w:t xml:space="preserve">icación del pleito. </w:t>
      </w:r>
      <w:r w:rsidR="00172F62" w:rsidRPr="00BC3053">
        <w:rPr>
          <w:rFonts w:ascii="Century Gothic" w:hAnsi="Century Gothic" w:cs="Times New Roman"/>
          <w:sz w:val="24"/>
          <w:szCs w:val="24"/>
          <w:lang w:val="es-PR"/>
        </w:rPr>
        <w:t xml:space="preserve">Ver </w:t>
      </w:r>
      <w:r w:rsidR="00172F62" w:rsidRPr="00BC3053">
        <w:rPr>
          <w:rFonts w:ascii="Century Gothic" w:hAnsi="Century Gothic" w:cs="Times New Roman"/>
          <w:i/>
          <w:iCs/>
          <w:sz w:val="24"/>
          <w:szCs w:val="24"/>
          <w:lang w:val="es-PR"/>
        </w:rPr>
        <w:t xml:space="preserve">Anejo </w:t>
      </w:r>
      <w:r w:rsidR="009313A3" w:rsidRPr="00BC3053">
        <w:rPr>
          <w:rFonts w:ascii="Century Gothic" w:hAnsi="Century Gothic" w:cs="Times New Roman"/>
          <w:i/>
          <w:iCs/>
          <w:sz w:val="24"/>
          <w:szCs w:val="24"/>
          <w:lang w:val="es-PR"/>
        </w:rPr>
        <w:t>9</w:t>
      </w:r>
      <w:r w:rsidR="0011010B" w:rsidRPr="00BC3053">
        <w:rPr>
          <w:rFonts w:ascii="Century Gothic" w:hAnsi="Century Gothic" w:cs="Times New Roman"/>
          <w:i/>
          <w:iCs/>
          <w:sz w:val="24"/>
          <w:szCs w:val="24"/>
          <w:lang w:val="es-PR"/>
        </w:rPr>
        <w:t>,</w:t>
      </w:r>
      <w:r w:rsidR="00A61335" w:rsidRPr="00BC3053">
        <w:rPr>
          <w:rFonts w:ascii="Century Gothic" w:hAnsi="Century Gothic" w:cs="Times New Roman"/>
          <w:sz w:val="24"/>
          <w:szCs w:val="24"/>
          <w:lang w:val="es-PR"/>
        </w:rPr>
        <w:t xml:space="preserve"> Carta de Universal a Alejandro </w:t>
      </w:r>
      <w:proofErr w:type="spellStart"/>
      <w:r w:rsidR="00A61335" w:rsidRPr="00BC3053">
        <w:rPr>
          <w:rFonts w:ascii="Century Gothic" w:hAnsi="Century Gothic" w:cs="Times New Roman"/>
          <w:sz w:val="24"/>
          <w:szCs w:val="24"/>
          <w:lang w:val="es-PR"/>
        </w:rPr>
        <w:t>Investment</w:t>
      </w:r>
      <w:proofErr w:type="spellEnd"/>
      <w:r w:rsidR="00A61335" w:rsidRPr="00BC3053">
        <w:rPr>
          <w:rFonts w:ascii="Century Gothic" w:hAnsi="Century Gothic" w:cs="Times New Roman"/>
          <w:sz w:val="24"/>
          <w:szCs w:val="24"/>
          <w:lang w:val="es-PR"/>
        </w:rPr>
        <w:t xml:space="preserve">, </w:t>
      </w:r>
      <w:r w:rsidR="00BC3053" w:rsidRPr="00BC3053">
        <w:rPr>
          <w:rFonts w:ascii="Century Gothic" w:hAnsi="Century Gothic" w:cs="Times New Roman"/>
          <w:sz w:val="24"/>
          <w:szCs w:val="24"/>
          <w:lang w:val="es-PR"/>
        </w:rPr>
        <w:t>11 de agosto de 2021.</w:t>
      </w:r>
      <w:r w:rsidR="00A61335" w:rsidRPr="00BC3053">
        <w:rPr>
          <w:rFonts w:ascii="Century Gothic" w:hAnsi="Century Gothic" w:cs="Times New Roman"/>
          <w:sz w:val="24"/>
          <w:szCs w:val="24"/>
          <w:lang w:val="es-PR"/>
        </w:rPr>
        <w:t xml:space="preserve"> </w:t>
      </w:r>
      <w:r w:rsidR="00F8572E" w:rsidRPr="00BC3053">
        <w:rPr>
          <w:rFonts w:ascii="Century Gothic" w:hAnsi="Century Gothic" w:cs="Times New Roman"/>
          <w:sz w:val="24"/>
          <w:szCs w:val="24"/>
          <w:lang w:val="es-PR"/>
        </w:rPr>
        <w:t xml:space="preserve">En este caso, además de la clara </w:t>
      </w:r>
      <w:r w:rsidR="00F8572E" w:rsidRPr="00BC3053">
        <w:rPr>
          <w:rFonts w:ascii="Century Gothic" w:hAnsi="Century Gothic" w:cs="Times New Roman"/>
          <w:b/>
          <w:sz w:val="24"/>
          <w:szCs w:val="24"/>
          <w:lang w:val="es-PR"/>
        </w:rPr>
        <w:t>infracción a la Ley 10 del 26 de abril de 1994</w:t>
      </w:r>
      <w:r w:rsidR="00F8572E" w:rsidRPr="00BC3053">
        <w:rPr>
          <w:rFonts w:ascii="Century Gothic" w:hAnsi="Century Gothic" w:cs="Times New Roman"/>
          <w:sz w:val="24"/>
          <w:szCs w:val="24"/>
          <w:lang w:val="es-PR"/>
        </w:rPr>
        <w:t>, se conf</w:t>
      </w:r>
      <w:r w:rsidR="004A614D" w:rsidRPr="00BC3053">
        <w:rPr>
          <w:rFonts w:ascii="Century Gothic" w:hAnsi="Century Gothic" w:cs="Times New Roman"/>
          <w:sz w:val="24"/>
          <w:szCs w:val="24"/>
          <w:lang w:val="es-PR"/>
        </w:rPr>
        <w:t>iguraron también los delitos de</w:t>
      </w:r>
      <w:r w:rsidR="00776F00" w:rsidRPr="00BC3053">
        <w:rPr>
          <w:rFonts w:ascii="Century Gothic" w:hAnsi="Century Gothic" w:cs="Times New Roman"/>
          <w:sz w:val="24"/>
          <w:szCs w:val="24"/>
          <w:lang w:val="es-PR"/>
        </w:rPr>
        <w:t xml:space="preserve"> </w:t>
      </w:r>
      <w:r w:rsidR="005A0724" w:rsidRPr="00BC3053">
        <w:rPr>
          <w:rFonts w:ascii="Century Gothic" w:hAnsi="Century Gothic" w:cs="Times New Roman"/>
          <w:b/>
          <w:sz w:val="24"/>
          <w:szCs w:val="24"/>
          <w:lang w:val="es-PR"/>
        </w:rPr>
        <w:t>fraude</w:t>
      </w:r>
      <w:r w:rsidR="005A0724" w:rsidRPr="00BC3053">
        <w:rPr>
          <w:rFonts w:ascii="Century Gothic" w:hAnsi="Century Gothic" w:cs="Times New Roman"/>
          <w:sz w:val="24"/>
          <w:szCs w:val="24"/>
          <w:lang w:val="es-PR"/>
        </w:rPr>
        <w:t xml:space="preserve">, </w:t>
      </w:r>
      <w:r w:rsidR="00776F00" w:rsidRPr="00BC3053">
        <w:rPr>
          <w:rFonts w:ascii="Century Gothic" w:hAnsi="Century Gothic" w:cs="Times New Roman"/>
          <w:b/>
          <w:sz w:val="24"/>
          <w:szCs w:val="24"/>
          <w:lang w:val="es-PR"/>
        </w:rPr>
        <w:t xml:space="preserve"> falsificación ideológica</w:t>
      </w:r>
      <w:r w:rsidR="005A0724" w:rsidRPr="00BC3053">
        <w:rPr>
          <w:rFonts w:ascii="Century Gothic" w:hAnsi="Century Gothic" w:cs="Times New Roman"/>
          <w:sz w:val="24"/>
          <w:szCs w:val="24"/>
          <w:lang w:val="es-PR"/>
        </w:rPr>
        <w:t xml:space="preserve"> y </w:t>
      </w:r>
      <w:r w:rsidR="005A0724" w:rsidRPr="00BC3053">
        <w:rPr>
          <w:rFonts w:ascii="Century Gothic" w:hAnsi="Century Gothic" w:cs="Times New Roman"/>
          <w:b/>
          <w:sz w:val="24"/>
          <w:szCs w:val="24"/>
          <w:lang w:val="es-PR"/>
        </w:rPr>
        <w:t>apropiaci</w:t>
      </w:r>
      <w:r w:rsidR="002D79EB">
        <w:rPr>
          <w:rFonts w:ascii="Century Gothic" w:hAnsi="Century Gothic" w:cs="Times New Roman"/>
          <w:b/>
          <w:sz w:val="24"/>
          <w:szCs w:val="24"/>
          <w:lang w:val="es-PR"/>
        </w:rPr>
        <w:t>ón ilegal y</w:t>
      </w:r>
      <w:r w:rsidR="005A0724" w:rsidRPr="00BC3053">
        <w:rPr>
          <w:rFonts w:ascii="Century Gothic" w:hAnsi="Century Gothic" w:cs="Times New Roman"/>
          <w:b/>
          <w:sz w:val="24"/>
          <w:szCs w:val="24"/>
          <w:lang w:val="es-PR"/>
        </w:rPr>
        <w:t xml:space="preserve"> </w:t>
      </w:r>
      <w:r w:rsidR="002D79EB" w:rsidRPr="002D79EB">
        <w:rPr>
          <w:rFonts w:ascii="Century Gothic" w:hAnsi="Century Gothic" w:cs="BookAntiqua"/>
          <w:b/>
          <w:sz w:val="24"/>
          <w:szCs w:val="24"/>
          <w:lang w:val="es-PR"/>
        </w:rPr>
        <w:t>apropiación ilegal agravada</w:t>
      </w:r>
      <w:r w:rsidR="002D79EB">
        <w:rPr>
          <w:rFonts w:ascii="Century Gothic" w:hAnsi="Century Gothic" w:cs="BookAntiqua"/>
          <w:sz w:val="24"/>
          <w:szCs w:val="24"/>
          <w:lang w:val="es-PR"/>
        </w:rPr>
        <w:t>.</w:t>
      </w:r>
      <w:r w:rsidR="002D79EB">
        <w:rPr>
          <w:rFonts w:ascii="Century Gothic" w:hAnsi="Century Gothic" w:cs="BookAntiqua"/>
          <w:sz w:val="24"/>
          <w:szCs w:val="24"/>
          <w:lang w:val="es-PR"/>
        </w:rPr>
        <w:t xml:space="preserve"> </w:t>
      </w:r>
    </w:p>
    <w:p w14:paraId="4A222F12" w14:textId="7E3633C1" w:rsidR="0003097E" w:rsidRPr="00BC3053" w:rsidRDefault="0003097E" w:rsidP="002D79EB">
      <w:pPr>
        <w:spacing w:line="240" w:lineRule="auto"/>
        <w:ind w:firstLine="720"/>
        <w:jc w:val="both"/>
        <w:rPr>
          <w:rFonts w:ascii="Century Gothic" w:hAnsi="Century Gothic" w:cs="Times New Roman"/>
          <w:sz w:val="24"/>
          <w:szCs w:val="24"/>
          <w:lang w:val="es-PR"/>
        </w:rPr>
      </w:pPr>
      <w:r w:rsidRPr="00BC3053">
        <w:rPr>
          <w:rFonts w:ascii="Century Gothic" w:hAnsi="Century Gothic"/>
          <w:sz w:val="24"/>
          <w:szCs w:val="24"/>
          <w:lang w:val="es-PR"/>
        </w:rPr>
        <w:t xml:space="preserve">Una situación similar fue reportada en el </w:t>
      </w:r>
      <w:r w:rsidRPr="00BC3053">
        <w:rPr>
          <w:rFonts w:ascii="Century Gothic" w:hAnsi="Century Gothic"/>
          <w:b/>
          <w:sz w:val="24"/>
          <w:szCs w:val="24"/>
          <w:lang w:val="es-PR"/>
        </w:rPr>
        <w:t>Municipio de Luquillo</w:t>
      </w:r>
      <w:r w:rsidRPr="00BC3053">
        <w:rPr>
          <w:rFonts w:ascii="Century Gothic" w:hAnsi="Century Gothic"/>
          <w:sz w:val="24"/>
          <w:szCs w:val="24"/>
          <w:lang w:val="es-PR"/>
        </w:rPr>
        <w:t xml:space="preserve">. El 27 de noviembre de 2020 Universal </w:t>
      </w:r>
      <w:proofErr w:type="spellStart"/>
      <w:r w:rsidRPr="00BC3053">
        <w:rPr>
          <w:rFonts w:ascii="Century Gothic" w:hAnsi="Century Gothic"/>
          <w:sz w:val="24"/>
          <w:szCs w:val="24"/>
          <w:lang w:val="es-PR"/>
        </w:rPr>
        <w:t>Properties</w:t>
      </w:r>
      <w:proofErr w:type="spellEnd"/>
      <w:r w:rsidRPr="00BC3053">
        <w:rPr>
          <w:rFonts w:ascii="Century Gothic" w:hAnsi="Century Gothic"/>
          <w:sz w:val="24"/>
          <w:szCs w:val="24"/>
          <w:lang w:val="es-PR"/>
        </w:rPr>
        <w:t xml:space="preserve">, en representación de ese Municipio, firmó un contrato con </w:t>
      </w:r>
      <w:proofErr w:type="spellStart"/>
      <w:r w:rsidRPr="00BC3053">
        <w:rPr>
          <w:rFonts w:ascii="Century Gothic" w:hAnsi="Century Gothic"/>
          <w:sz w:val="24"/>
          <w:szCs w:val="24"/>
          <w:lang w:val="es-PR"/>
        </w:rPr>
        <w:t>Richport</w:t>
      </w:r>
      <w:proofErr w:type="spellEnd"/>
      <w:r w:rsidRPr="00BC3053">
        <w:rPr>
          <w:rFonts w:ascii="Century Gothic" w:hAnsi="Century Gothic"/>
          <w:sz w:val="24"/>
          <w:szCs w:val="24"/>
          <w:lang w:val="es-PR"/>
        </w:rPr>
        <w:t xml:space="preserve"> LLC para la expropiación y adquisición de once propiedades bajo el Programa de Estorbos Públicos del Municipio.  La parte demandante entregó a Universal la suma de $446,000 por el valor de las propiedades, más $33,000</w:t>
      </w:r>
      <w:r w:rsidR="00BC3053">
        <w:rPr>
          <w:rFonts w:ascii="Century Gothic" w:hAnsi="Century Gothic"/>
          <w:sz w:val="24"/>
          <w:szCs w:val="24"/>
          <w:lang w:val="es-PR"/>
        </w:rPr>
        <w:t xml:space="preserve"> </w:t>
      </w:r>
      <w:r w:rsidRPr="00BC3053">
        <w:rPr>
          <w:rFonts w:ascii="Century Gothic" w:hAnsi="Century Gothic"/>
          <w:sz w:val="24"/>
          <w:szCs w:val="24"/>
          <w:lang w:val="es-PR"/>
        </w:rPr>
        <w:t xml:space="preserve">entregados a Simón Fernández por concepto de “comisión”. El dinero, según se alega en la Demanda presentada por </w:t>
      </w:r>
      <w:proofErr w:type="spellStart"/>
      <w:r w:rsidRPr="00BC3053">
        <w:rPr>
          <w:rFonts w:ascii="Century Gothic" w:hAnsi="Century Gothic"/>
          <w:sz w:val="24"/>
          <w:szCs w:val="24"/>
          <w:lang w:val="es-PR"/>
        </w:rPr>
        <w:t>RichPort</w:t>
      </w:r>
      <w:proofErr w:type="spellEnd"/>
      <w:r w:rsidRPr="00BC3053">
        <w:rPr>
          <w:rFonts w:ascii="Century Gothic" w:hAnsi="Century Gothic"/>
          <w:sz w:val="24"/>
          <w:szCs w:val="24"/>
          <w:lang w:val="es-PR"/>
        </w:rPr>
        <w:t xml:space="preserve">, no se depositó en una cuenta plica. Ver </w:t>
      </w:r>
      <w:r w:rsidRPr="00BC3053">
        <w:rPr>
          <w:rFonts w:ascii="Century Gothic" w:hAnsi="Century Gothic"/>
          <w:i/>
          <w:iCs/>
          <w:sz w:val="24"/>
          <w:szCs w:val="24"/>
          <w:lang w:val="es-PR"/>
        </w:rPr>
        <w:t>Anejo 1</w:t>
      </w:r>
      <w:r w:rsidR="00876EDC" w:rsidRPr="00BC3053">
        <w:rPr>
          <w:rFonts w:ascii="Century Gothic" w:hAnsi="Century Gothic"/>
          <w:i/>
          <w:iCs/>
          <w:sz w:val="24"/>
          <w:szCs w:val="24"/>
          <w:lang w:val="es-PR"/>
        </w:rPr>
        <w:t>0</w:t>
      </w:r>
      <w:r w:rsidRPr="00BC3053">
        <w:rPr>
          <w:rFonts w:ascii="Century Gothic" w:hAnsi="Century Gothic"/>
          <w:sz w:val="24"/>
          <w:szCs w:val="24"/>
          <w:lang w:val="es-PR"/>
        </w:rPr>
        <w:t xml:space="preserve">, Demanda </w:t>
      </w:r>
      <w:proofErr w:type="spellStart"/>
      <w:r w:rsidRPr="00BC3053">
        <w:rPr>
          <w:rFonts w:ascii="Century Gothic" w:hAnsi="Century Gothic"/>
          <w:sz w:val="24"/>
          <w:szCs w:val="24"/>
          <w:lang w:val="es-PR"/>
        </w:rPr>
        <w:t>Richport</w:t>
      </w:r>
      <w:proofErr w:type="spellEnd"/>
      <w:r w:rsidRPr="00BC3053">
        <w:rPr>
          <w:rFonts w:ascii="Century Gothic" w:hAnsi="Century Gothic"/>
          <w:sz w:val="24"/>
          <w:szCs w:val="24"/>
          <w:lang w:val="es-PR"/>
        </w:rPr>
        <w:t xml:space="preserve"> LLC v. Universal </w:t>
      </w:r>
      <w:proofErr w:type="spellStart"/>
      <w:r w:rsidRPr="00BC3053">
        <w:rPr>
          <w:rFonts w:ascii="Century Gothic" w:hAnsi="Century Gothic"/>
          <w:sz w:val="24"/>
          <w:szCs w:val="24"/>
          <w:lang w:val="es-PR"/>
        </w:rPr>
        <w:t>Properties</w:t>
      </w:r>
      <w:proofErr w:type="spellEnd"/>
      <w:r w:rsidRPr="00BC3053">
        <w:rPr>
          <w:rFonts w:ascii="Century Gothic" w:hAnsi="Century Gothic"/>
          <w:sz w:val="24"/>
          <w:szCs w:val="24"/>
          <w:lang w:val="es-PR"/>
        </w:rPr>
        <w:t xml:space="preserve"> </w:t>
      </w:r>
      <w:proofErr w:type="spellStart"/>
      <w:r w:rsidRPr="00BC3053">
        <w:rPr>
          <w:rFonts w:ascii="Century Gothic" w:hAnsi="Century Gothic"/>
          <w:sz w:val="24"/>
          <w:szCs w:val="24"/>
          <w:lang w:val="es-PR"/>
        </w:rPr>
        <w:t>Realty</w:t>
      </w:r>
      <w:proofErr w:type="spellEnd"/>
      <w:r w:rsidRPr="00BC3053">
        <w:rPr>
          <w:rFonts w:ascii="Century Gothic" w:hAnsi="Century Gothic"/>
          <w:sz w:val="24"/>
          <w:szCs w:val="24"/>
          <w:lang w:val="es-PR"/>
        </w:rPr>
        <w:t xml:space="preserve"> </w:t>
      </w:r>
      <w:proofErr w:type="spellStart"/>
      <w:r w:rsidRPr="00BC3053">
        <w:rPr>
          <w:rFonts w:ascii="Century Gothic" w:hAnsi="Century Gothic"/>
          <w:sz w:val="24"/>
          <w:szCs w:val="24"/>
          <w:lang w:val="es-PR"/>
        </w:rPr>
        <w:t>Government</w:t>
      </w:r>
      <w:proofErr w:type="spellEnd"/>
      <w:r w:rsidRPr="00BC3053">
        <w:rPr>
          <w:rFonts w:ascii="Century Gothic" w:hAnsi="Century Gothic"/>
          <w:sz w:val="24"/>
          <w:szCs w:val="24"/>
          <w:lang w:val="es-PR"/>
        </w:rPr>
        <w:t xml:space="preserve"> </w:t>
      </w:r>
      <w:proofErr w:type="spellStart"/>
      <w:r w:rsidRPr="00BC3053">
        <w:rPr>
          <w:rFonts w:ascii="Century Gothic" w:hAnsi="Century Gothic"/>
          <w:sz w:val="24"/>
          <w:szCs w:val="24"/>
          <w:lang w:val="es-PR"/>
        </w:rPr>
        <w:t>Services</w:t>
      </w:r>
      <w:proofErr w:type="spellEnd"/>
      <w:r w:rsidRPr="00BC3053">
        <w:rPr>
          <w:rFonts w:ascii="Century Gothic" w:hAnsi="Century Gothic"/>
          <w:sz w:val="24"/>
          <w:szCs w:val="24"/>
          <w:lang w:val="es-PR"/>
        </w:rPr>
        <w:t xml:space="preserve"> LLC (núm. de caso: BY2022CV01806). </w:t>
      </w:r>
      <w:r w:rsidR="00BC3053">
        <w:rPr>
          <w:rFonts w:ascii="Century Gothic" w:hAnsi="Century Gothic"/>
          <w:sz w:val="24"/>
          <w:szCs w:val="24"/>
          <w:lang w:val="es-PR"/>
        </w:rPr>
        <w:t xml:space="preserve"> </w:t>
      </w:r>
      <w:r w:rsidRPr="00BC3053">
        <w:rPr>
          <w:rFonts w:ascii="Century Gothic" w:hAnsi="Century Gothic"/>
          <w:sz w:val="24"/>
          <w:szCs w:val="24"/>
          <w:lang w:val="es-PR"/>
        </w:rPr>
        <w:t>Según se alega, para abril de 2022 “los codemandados no han transferido ni entregado a la Parte Demandante ni siquiera una propiedad objeto de los contratos”. El caso continúa activo</w:t>
      </w:r>
      <w:r w:rsidRPr="00BC3053">
        <w:rPr>
          <w:rFonts w:ascii="Century Gothic" w:hAnsi="Century Gothic" w:cs="Times New Roman"/>
          <w:sz w:val="24"/>
          <w:szCs w:val="24"/>
          <w:lang w:val="es-PR"/>
        </w:rPr>
        <w:t>; Universal, co</w:t>
      </w:r>
      <w:r w:rsidR="00BC3053">
        <w:rPr>
          <w:rFonts w:ascii="Century Gothic" w:hAnsi="Century Gothic" w:cs="Times New Roman"/>
          <w:sz w:val="24"/>
          <w:szCs w:val="24"/>
          <w:lang w:val="es-PR"/>
        </w:rPr>
        <w:t>mo en otros casos, levanta como defensa</w:t>
      </w:r>
      <w:r w:rsidRPr="00BC3053">
        <w:rPr>
          <w:rFonts w:ascii="Century Gothic" w:hAnsi="Century Gothic" w:cs="Times New Roman"/>
          <w:sz w:val="24"/>
          <w:szCs w:val="24"/>
          <w:lang w:val="es-PR"/>
        </w:rPr>
        <w:t xml:space="preserve"> “insuficiencia de emplazamiento”. </w:t>
      </w:r>
      <w:r w:rsidR="00BC3053">
        <w:rPr>
          <w:rFonts w:ascii="Century Gothic" w:hAnsi="Century Gothic" w:cs="Times New Roman"/>
          <w:sz w:val="24"/>
          <w:szCs w:val="24"/>
          <w:lang w:val="es-PR"/>
        </w:rPr>
        <w:t>I</w:t>
      </w:r>
      <w:r w:rsidR="00835C64">
        <w:rPr>
          <w:rFonts w:ascii="Century Gothic" w:hAnsi="Century Gothic" w:cs="Times New Roman"/>
          <w:sz w:val="24"/>
          <w:szCs w:val="24"/>
          <w:lang w:val="es-PR"/>
        </w:rPr>
        <w:t>gual que en los ejemplos</w:t>
      </w:r>
      <w:r w:rsidR="00BC3053">
        <w:rPr>
          <w:rFonts w:ascii="Century Gothic" w:hAnsi="Century Gothic" w:cs="Times New Roman"/>
          <w:sz w:val="24"/>
          <w:szCs w:val="24"/>
          <w:lang w:val="es-PR"/>
        </w:rPr>
        <w:t xml:space="preserve"> anteriores, se configuran en este caso los delitos de </w:t>
      </w:r>
      <w:r w:rsidR="00BC3053" w:rsidRPr="00BC3053">
        <w:rPr>
          <w:rFonts w:ascii="Century Gothic" w:hAnsi="Century Gothic" w:cs="Times New Roman"/>
          <w:b/>
          <w:sz w:val="24"/>
          <w:szCs w:val="24"/>
          <w:lang w:val="es-PR"/>
        </w:rPr>
        <w:t>fraude</w:t>
      </w:r>
      <w:r w:rsidR="00BC3053">
        <w:rPr>
          <w:rFonts w:ascii="Century Gothic" w:hAnsi="Century Gothic" w:cs="Times New Roman"/>
          <w:sz w:val="24"/>
          <w:szCs w:val="24"/>
          <w:lang w:val="es-PR"/>
        </w:rPr>
        <w:t xml:space="preserve">, </w:t>
      </w:r>
      <w:r w:rsidR="00BC3053" w:rsidRPr="00BC3053">
        <w:rPr>
          <w:rFonts w:ascii="Century Gothic" w:hAnsi="Century Gothic" w:cs="Times New Roman"/>
          <w:b/>
          <w:sz w:val="24"/>
          <w:szCs w:val="24"/>
          <w:lang w:val="es-PR"/>
        </w:rPr>
        <w:t>falsedad ideológica</w:t>
      </w:r>
      <w:r w:rsidR="00BC3053">
        <w:rPr>
          <w:rFonts w:ascii="Century Gothic" w:hAnsi="Century Gothic" w:cs="Times New Roman"/>
          <w:sz w:val="24"/>
          <w:szCs w:val="24"/>
          <w:lang w:val="es-PR"/>
        </w:rPr>
        <w:t xml:space="preserve"> y </w:t>
      </w:r>
      <w:r w:rsidR="00BC3053" w:rsidRPr="00BC3053">
        <w:rPr>
          <w:rFonts w:ascii="Century Gothic" w:hAnsi="Century Gothic" w:cs="Times New Roman"/>
          <w:b/>
          <w:sz w:val="24"/>
          <w:szCs w:val="24"/>
          <w:lang w:val="es-PR"/>
        </w:rPr>
        <w:t>apropiación ilegal</w:t>
      </w:r>
      <w:r w:rsidR="00BC3053">
        <w:rPr>
          <w:rFonts w:ascii="Century Gothic" w:hAnsi="Century Gothic" w:cs="Times New Roman"/>
          <w:sz w:val="24"/>
          <w:szCs w:val="24"/>
          <w:lang w:val="es-PR"/>
        </w:rPr>
        <w:t xml:space="preserve">, y la </w:t>
      </w:r>
      <w:r w:rsidR="00BC3053" w:rsidRPr="00BC3053">
        <w:rPr>
          <w:rFonts w:ascii="Century Gothic" w:hAnsi="Century Gothic" w:cs="Times New Roman"/>
          <w:b/>
          <w:sz w:val="24"/>
          <w:szCs w:val="24"/>
          <w:lang w:val="es-PR"/>
        </w:rPr>
        <w:t>violación a la Ley 10 del 26 de abril de 1994</w:t>
      </w:r>
      <w:r w:rsidR="00BC3053">
        <w:rPr>
          <w:rFonts w:ascii="Century Gothic" w:hAnsi="Century Gothic" w:cs="Times New Roman"/>
          <w:sz w:val="24"/>
          <w:szCs w:val="24"/>
          <w:lang w:val="es-PR"/>
        </w:rPr>
        <w:t xml:space="preserve">. </w:t>
      </w:r>
    </w:p>
    <w:p w14:paraId="4072055B" w14:textId="3872A7DE" w:rsidR="0003097E" w:rsidRPr="00BC3053" w:rsidRDefault="0003097E" w:rsidP="00266C36">
      <w:pPr>
        <w:spacing w:line="240" w:lineRule="auto"/>
        <w:ind w:firstLine="720"/>
        <w:jc w:val="both"/>
        <w:rPr>
          <w:rFonts w:ascii="Century Gothic" w:hAnsi="Century Gothic" w:cs="Times New Roman"/>
          <w:sz w:val="24"/>
          <w:szCs w:val="24"/>
          <w:lang w:val="es-PR"/>
        </w:rPr>
      </w:pPr>
      <w:r w:rsidRPr="00BC3053">
        <w:rPr>
          <w:rFonts w:ascii="Century Gothic" w:hAnsi="Century Gothic" w:cs="Times New Roman"/>
          <w:sz w:val="24"/>
          <w:szCs w:val="24"/>
          <w:lang w:val="es-PR"/>
        </w:rPr>
        <w:t xml:space="preserve">Universal </w:t>
      </w:r>
      <w:proofErr w:type="spellStart"/>
      <w:r w:rsidRPr="00BC3053">
        <w:rPr>
          <w:rFonts w:ascii="Century Gothic" w:hAnsi="Century Gothic" w:cs="Times New Roman"/>
          <w:sz w:val="24"/>
          <w:szCs w:val="24"/>
          <w:lang w:val="es-PR"/>
        </w:rPr>
        <w:t>Properties</w:t>
      </w:r>
      <w:proofErr w:type="spellEnd"/>
      <w:r w:rsidRPr="00BC3053">
        <w:rPr>
          <w:rFonts w:ascii="Century Gothic" w:hAnsi="Century Gothic" w:cs="Times New Roman"/>
          <w:sz w:val="24"/>
          <w:szCs w:val="24"/>
          <w:lang w:val="es-PR"/>
        </w:rPr>
        <w:t>, como se ha visto, no discrimina en cuanto al estatus adqu</w:t>
      </w:r>
      <w:r w:rsidR="00266C36" w:rsidRPr="00BC3053">
        <w:rPr>
          <w:rFonts w:ascii="Century Gothic" w:hAnsi="Century Gothic" w:cs="Times New Roman"/>
          <w:sz w:val="24"/>
          <w:szCs w:val="24"/>
          <w:lang w:val="es-PR"/>
        </w:rPr>
        <w:t>isitivo de sus víctimas. E</w:t>
      </w:r>
      <w:r w:rsidRPr="00BC3053">
        <w:rPr>
          <w:rFonts w:ascii="Century Gothic" w:hAnsi="Century Gothic" w:cs="Times New Roman"/>
          <w:sz w:val="24"/>
          <w:szCs w:val="24"/>
          <w:lang w:val="es-PR"/>
        </w:rPr>
        <w:t>n algunos casos están involucradas compañías que manej</w:t>
      </w:r>
      <w:r w:rsidR="00266C36" w:rsidRPr="00BC3053">
        <w:rPr>
          <w:rFonts w:ascii="Century Gothic" w:hAnsi="Century Gothic" w:cs="Times New Roman"/>
          <w:sz w:val="24"/>
          <w:szCs w:val="24"/>
          <w:lang w:val="es-PR"/>
        </w:rPr>
        <w:t xml:space="preserve">an cientos de miles de dólares mientras que </w:t>
      </w:r>
      <w:r w:rsidRPr="00BC3053">
        <w:rPr>
          <w:rFonts w:ascii="Century Gothic" w:hAnsi="Century Gothic" w:cs="Times New Roman"/>
          <w:sz w:val="24"/>
          <w:szCs w:val="24"/>
          <w:lang w:val="es-PR"/>
        </w:rPr>
        <w:t xml:space="preserve">en otros hay personas en condiciones particularmente vulnerables. El 8 de octubre de 2021, una pareja de adultos mayores, residentes de Aguas Buenas, firmaron un contrato con </w:t>
      </w:r>
      <w:r w:rsidR="00266C36" w:rsidRPr="00BC3053">
        <w:rPr>
          <w:rFonts w:ascii="Century Gothic" w:hAnsi="Century Gothic" w:cs="BookAntiqua"/>
          <w:sz w:val="24"/>
          <w:szCs w:val="24"/>
          <w:lang w:val="es-PR"/>
        </w:rPr>
        <w:t xml:space="preserve">Universal </w:t>
      </w:r>
      <w:r w:rsidRPr="00BC3053">
        <w:rPr>
          <w:rFonts w:ascii="Century Gothic" w:hAnsi="Century Gothic" w:cs="BookAntiqua"/>
          <w:sz w:val="24"/>
          <w:szCs w:val="24"/>
          <w:lang w:val="es-PR"/>
        </w:rPr>
        <w:t xml:space="preserve"> para adquirir una propiedad en Caguas, lo que les permitiría estar más cerca de sus hijas, quienes cuidan de ellos. Universal les dio un plazo de 24 horas para que consiguieran $55,000, o venderían la casa a otras personas interesadas. El matrimonio consiguió dinero prestado y vendieron a toda prisa su hogar de </w:t>
      </w:r>
      <w:r w:rsidRPr="00BC3053">
        <w:rPr>
          <w:rFonts w:ascii="Century Gothic" w:hAnsi="Century Gothic" w:cs="BookAntiqua"/>
          <w:sz w:val="24"/>
          <w:szCs w:val="24"/>
          <w:lang w:val="es-PR"/>
        </w:rPr>
        <w:lastRenderedPageBreak/>
        <w:t xml:space="preserve">Aguas Buenas, lo que les obligó a buscar albergue en la casa de una hija. Para fines de noviembre, advirtieron que una persona estaba viviendo en la casa que se suponía les fuera vendida a ellos. Universal le indica al matrimonio que se trataba de “un deambulante” que estaba ocupando la casa, pero la persona alegaba que era dueño por herencia del inmueble cuya venta había prometido Universal. La oficina </w:t>
      </w:r>
      <w:r w:rsidR="00835C64">
        <w:rPr>
          <w:rFonts w:ascii="Century Gothic" w:hAnsi="Century Gothic" w:cs="BookAntiqua"/>
          <w:sz w:val="24"/>
          <w:szCs w:val="24"/>
          <w:lang w:val="es-PR"/>
        </w:rPr>
        <w:t>municipal de estorbos p</w:t>
      </w:r>
      <w:r w:rsidRPr="00BC3053">
        <w:rPr>
          <w:rFonts w:ascii="Century Gothic" w:hAnsi="Century Gothic" w:cs="BookAntiqua"/>
          <w:sz w:val="24"/>
          <w:szCs w:val="24"/>
          <w:lang w:val="es-PR"/>
        </w:rPr>
        <w:t>úblicos, al recibir comunicación del matrimonio, les dijo que estaban en el proceso de solicitar al Tribunal la expro</w:t>
      </w:r>
      <w:r w:rsidR="00266C36" w:rsidRPr="00BC3053">
        <w:rPr>
          <w:rFonts w:ascii="Century Gothic" w:hAnsi="Century Gothic" w:cs="BookAntiqua"/>
          <w:sz w:val="24"/>
          <w:szCs w:val="24"/>
          <w:lang w:val="es-PR"/>
        </w:rPr>
        <w:t>piación. La</w:t>
      </w:r>
      <w:r w:rsidRPr="00BC3053">
        <w:rPr>
          <w:rFonts w:ascii="Century Gothic" w:hAnsi="Century Gothic" w:cs="BookAntiqua"/>
          <w:sz w:val="24"/>
          <w:szCs w:val="24"/>
          <w:lang w:val="es-PR"/>
        </w:rPr>
        <w:t xml:space="preserve"> parej</w:t>
      </w:r>
      <w:r w:rsidR="00266C36" w:rsidRPr="00BC3053">
        <w:rPr>
          <w:rFonts w:ascii="Century Gothic" w:hAnsi="Century Gothic" w:cs="BookAntiqua"/>
          <w:sz w:val="24"/>
          <w:szCs w:val="24"/>
          <w:lang w:val="es-PR"/>
        </w:rPr>
        <w:t>a regresó a ver la que pensaban sería su casa, donde los r</w:t>
      </w:r>
      <w:r w:rsidR="00835C64">
        <w:rPr>
          <w:rFonts w:ascii="Century Gothic" w:hAnsi="Century Gothic" w:cs="BookAntiqua"/>
          <w:sz w:val="24"/>
          <w:szCs w:val="24"/>
          <w:lang w:val="es-PR"/>
        </w:rPr>
        <w:t xml:space="preserve">ecibe de forma agresiva una  </w:t>
      </w:r>
      <w:r w:rsidR="00266C36" w:rsidRPr="00BC3053">
        <w:rPr>
          <w:rFonts w:ascii="Century Gothic" w:hAnsi="Century Gothic" w:cs="BookAntiqua"/>
          <w:sz w:val="24"/>
          <w:szCs w:val="24"/>
          <w:lang w:val="es-PR"/>
        </w:rPr>
        <w:t xml:space="preserve">persona que les dice que </w:t>
      </w:r>
      <w:r w:rsidRPr="00BC3053">
        <w:rPr>
          <w:rFonts w:ascii="Century Gothic" w:hAnsi="Century Gothic" w:cs="BookAntiqua"/>
          <w:sz w:val="24"/>
          <w:szCs w:val="24"/>
          <w:lang w:val="es-PR"/>
        </w:rPr>
        <w:t xml:space="preserve"> “nadie lo iba a </w:t>
      </w:r>
      <w:r w:rsidR="00266C36" w:rsidRPr="00BC3053">
        <w:rPr>
          <w:rFonts w:ascii="Century Gothic" w:hAnsi="Century Gothic" w:cs="BookAntiqua"/>
          <w:sz w:val="24"/>
          <w:szCs w:val="24"/>
          <w:lang w:val="es-PR"/>
        </w:rPr>
        <w:t xml:space="preserve">sacar de su propiedad”. Regresaron </w:t>
      </w:r>
      <w:r w:rsidRPr="00BC3053">
        <w:rPr>
          <w:rFonts w:ascii="Century Gothic" w:hAnsi="Century Gothic" w:cs="BookAntiqua"/>
          <w:sz w:val="24"/>
          <w:szCs w:val="24"/>
          <w:lang w:val="es-PR"/>
        </w:rPr>
        <w:t xml:space="preserve">a la oficina de estorbos públicos </w:t>
      </w:r>
      <w:r w:rsidR="00266C36" w:rsidRPr="00BC3053">
        <w:rPr>
          <w:rFonts w:ascii="Century Gothic" w:hAnsi="Century Gothic" w:cs="BookAntiqua"/>
          <w:sz w:val="24"/>
          <w:szCs w:val="24"/>
          <w:lang w:val="es-PR"/>
        </w:rPr>
        <w:t>del Municipio de Caguas y lograron</w:t>
      </w:r>
      <w:r w:rsidRPr="00BC3053">
        <w:rPr>
          <w:rFonts w:ascii="Century Gothic" w:hAnsi="Century Gothic" w:cs="BookAntiqua"/>
          <w:sz w:val="24"/>
          <w:szCs w:val="24"/>
          <w:lang w:val="es-PR"/>
        </w:rPr>
        <w:t xml:space="preserve"> que el 2</w:t>
      </w:r>
      <w:r w:rsidR="00835C64">
        <w:rPr>
          <w:rFonts w:ascii="Century Gothic" w:hAnsi="Century Gothic" w:cs="BookAntiqua"/>
          <w:sz w:val="24"/>
          <w:szCs w:val="24"/>
          <w:lang w:val="es-PR"/>
        </w:rPr>
        <w:t>8 de enero de 2022 les devolvieran</w:t>
      </w:r>
      <w:r w:rsidRPr="00BC3053">
        <w:rPr>
          <w:rFonts w:ascii="Century Gothic" w:hAnsi="Century Gothic" w:cs="BookAntiqua"/>
          <w:sz w:val="24"/>
          <w:szCs w:val="24"/>
          <w:lang w:val="es-PR"/>
        </w:rPr>
        <w:t xml:space="preserve"> su dinero. Con fecha del 3 de noviembre de 2022 se presenta una reclamación en daños y perjuicios, pero no se incluye al Municipio como demandado. Ver </w:t>
      </w:r>
      <w:r w:rsidRPr="00BC3053">
        <w:rPr>
          <w:rFonts w:ascii="Century Gothic" w:hAnsi="Century Gothic" w:cs="BookAntiqua"/>
          <w:i/>
          <w:iCs/>
          <w:sz w:val="24"/>
          <w:szCs w:val="24"/>
          <w:lang w:val="es-PR"/>
        </w:rPr>
        <w:t>Anejo 1</w:t>
      </w:r>
      <w:r w:rsidR="00EA73DE" w:rsidRPr="00BC3053">
        <w:rPr>
          <w:rFonts w:ascii="Century Gothic" w:hAnsi="Century Gothic" w:cs="BookAntiqua"/>
          <w:i/>
          <w:iCs/>
          <w:sz w:val="24"/>
          <w:szCs w:val="24"/>
          <w:lang w:val="es-PR"/>
        </w:rPr>
        <w:t>1</w:t>
      </w:r>
      <w:r w:rsidRPr="00BC3053">
        <w:rPr>
          <w:rFonts w:ascii="Century Gothic" w:hAnsi="Century Gothic" w:cs="BookAntiqua"/>
          <w:sz w:val="24"/>
          <w:szCs w:val="24"/>
          <w:lang w:val="es-PR"/>
        </w:rPr>
        <w:t xml:space="preserve">, </w:t>
      </w:r>
      <w:r w:rsidR="003A21B8" w:rsidRPr="00BC3053">
        <w:rPr>
          <w:rFonts w:ascii="Century Gothic" w:hAnsi="Century Gothic" w:cs="BookAntiqua"/>
          <w:sz w:val="24"/>
          <w:szCs w:val="24"/>
          <w:lang w:val="es-PR"/>
        </w:rPr>
        <w:t>Demanda, María</w:t>
      </w:r>
      <w:r w:rsidRPr="00BC3053">
        <w:rPr>
          <w:rFonts w:ascii="Century Gothic" w:hAnsi="Century Gothic" w:cs="Times New Roman"/>
          <w:sz w:val="24"/>
          <w:szCs w:val="24"/>
          <w:lang w:val="es-PR"/>
        </w:rPr>
        <w:t xml:space="preserve"> del Carmen Colón Rivera y Augusto Villegas Márquez, SLG v. Universal </w:t>
      </w:r>
      <w:proofErr w:type="spellStart"/>
      <w:r w:rsidRPr="00BC3053">
        <w:rPr>
          <w:rFonts w:ascii="Century Gothic" w:hAnsi="Century Gothic" w:cs="Times New Roman"/>
          <w:sz w:val="24"/>
          <w:szCs w:val="24"/>
          <w:lang w:val="es-PR"/>
        </w:rPr>
        <w:t>Properties</w:t>
      </w:r>
      <w:proofErr w:type="spellEnd"/>
      <w:r w:rsidRPr="00BC3053">
        <w:rPr>
          <w:rFonts w:ascii="Century Gothic" w:hAnsi="Century Gothic" w:cs="Times New Roman"/>
          <w:sz w:val="24"/>
          <w:szCs w:val="24"/>
          <w:lang w:val="es-PR"/>
        </w:rPr>
        <w:t xml:space="preserve"> (núm. de caso: CG2022CV03728).</w:t>
      </w:r>
      <w:r w:rsidR="00835C64">
        <w:rPr>
          <w:rFonts w:ascii="Century Gothic" w:hAnsi="Century Gothic" w:cs="Times New Roman"/>
          <w:sz w:val="24"/>
          <w:szCs w:val="24"/>
          <w:lang w:val="es-PR"/>
        </w:rPr>
        <w:t xml:space="preserve"> Nuevamente,  se comete </w:t>
      </w:r>
      <w:r w:rsidR="00835C64" w:rsidRPr="00835C64">
        <w:rPr>
          <w:rFonts w:ascii="Century Gothic" w:hAnsi="Century Gothic" w:cs="Times New Roman"/>
          <w:b/>
          <w:sz w:val="24"/>
          <w:szCs w:val="24"/>
          <w:lang w:val="es-PR"/>
        </w:rPr>
        <w:t>fraude</w:t>
      </w:r>
      <w:r w:rsidR="00835C64">
        <w:rPr>
          <w:rFonts w:ascii="Century Gothic" w:hAnsi="Century Gothic" w:cs="Times New Roman"/>
          <w:sz w:val="24"/>
          <w:szCs w:val="24"/>
          <w:lang w:val="es-PR"/>
        </w:rPr>
        <w:t xml:space="preserve"> y </w:t>
      </w:r>
      <w:r w:rsidR="00835C64" w:rsidRPr="00835C64">
        <w:rPr>
          <w:rFonts w:ascii="Century Gothic" w:hAnsi="Century Gothic" w:cs="Times New Roman"/>
          <w:b/>
          <w:sz w:val="24"/>
          <w:szCs w:val="24"/>
          <w:lang w:val="es-PR"/>
        </w:rPr>
        <w:t>falsedad ideológica</w:t>
      </w:r>
      <w:r w:rsidR="00835C64">
        <w:rPr>
          <w:rFonts w:ascii="Century Gothic" w:hAnsi="Century Gothic" w:cs="Times New Roman"/>
          <w:sz w:val="24"/>
          <w:szCs w:val="24"/>
          <w:lang w:val="es-PR"/>
        </w:rPr>
        <w:t xml:space="preserve">. </w:t>
      </w:r>
    </w:p>
    <w:p w14:paraId="6031F19C" w14:textId="21EA74B7" w:rsidR="00B85D25" w:rsidRPr="00BC3053" w:rsidRDefault="0003097E" w:rsidP="00266C36">
      <w:pPr>
        <w:spacing w:line="240" w:lineRule="auto"/>
        <w:ind w:firstLine="720"/>
        <w:jc w:val="both"/>
        <w:rPr>
          <w:rFonts w:ascii="Century Gothic" w:hAnsi="Century Gothic" w:cs="BookAntiqua"/>
          <w:sz w:val="24"/>
          <w:szCs w:val="24"/>
          <w:lang w:val="es-PR"/>
        </w:rPr>
      </w:pPr>
      <w:r w:rsidRPr="00BC3053">
        <w:rPr>
          <w:rFonts w:ascii="Century Gothic" w:hAnsi="Century Gothic" w:cs="Times New Roman"/>
          <w:sz w:val="24"/>
          <w:szCs w:val="24"/>
          <w:lang w:val="es-PR"/>
        </w:rPr>
        <w:t xml:space="preserve">El </w:t>
      </w:r>
      <w:r w:rsidRPr="00BC3053">
        <w:rPr>
          <w:rFonts w:ascii="Century Gothic" w:hAnsi="Century Gothic" w:cs="Times New Roman"/>
          <w:b/>
          <w:bCs/>
          <w:sz w:val="24"/>
          <w:szCs w:val="24"/>
          <w:lang w:val="es-PR"/>
        </w:rPr>
        <w:t>Municipio de Caguas</w:t>
      </w:r>
      <w:r w:rsidRPr="00BC3053">
        <w:rPr>
          <w:rFonts w:ascii="Century Gothic" w:hAnsi="Century Gothic" w:cs="Times New Roman"/>
          <w:sz w:val="24"/>
          <w:szCs w:val="24"/>
          <w:lang w:val="es-PR"/>
        </w:rPr>
        <w:t xml:space="preserve"> también ha estado involucrado</w:t>
      </w:r>
      <w:r w:rsidR="00835C64">
        <w:rPr>
          <w:rFonts w:ascii="Century Gothic" w:hAnsi="Century Gothic" w:cs="Times New Roman"/>
          <w:sz w:val="24"/>
          <w:szCs w:val="24"/>
          <w:lang w:val="es-PR"/>
        </w:rPr>
        <w:t>, esta vez al amparo de su contrato con</w:t>
      </w:r>
      <w:r w:rsidR="00835C64" w:rsidRPr="00835C64">
        <w:rPr>
          <w:rFonts w:ascii="Century Gothic" w:hAnsi="Century Gothic" w:cs="BookAntiqua"/>
          <w:sz w:val="24"/>
          <w:szCs w:val="24"/>
          <w:lang w:val="es-PR"/>
        </w:rPr>
        <w:t xml:space="preserve"> </w:t>
      </w:r>
      <w:r w:rsidR="00835C64" w:rsidRPr="00BC3053">
        <w:rPr>
          <w:rFonts w:ascii="Century Gothic" w:hAnsi="Century Gothic" w:cs="BookAntiqua"/>
          <w:sz w:val="24"/>
          <w:szCs w:val="24"/>
          <w:lang w:val="es-PR"/>
        </w:rPr>
        <w:t xml:space="preserve">Francis &amp; </w:t>
      </w:r>
      <w:proofErr w:type="spellStart"/>
      <w:r w:rsidR="00835C64" w:rsidRPr="00BC3053">
        <w:rPr>
          <w:rFonts w:ascii="Century Gothic" w:hAnsi="Century Gothic" w:cs="BookAntiqua"/>
          <w:sz w:val="24"/>
          <w:szCs w:val="24"/>
          <w:lang w:val="es-PR"/>
        </w:rPr>
        <w:t>Gueits</w:t>
      </w:r>
      <w:proofErr w:type="spellEnd"/>
      <w:r w:rsidR="00835C64">
        <w:rPr>
          <w:rFonts w:ascii="Century Gothic" w:hAnsi="Century Gothic" w:cs="Times New Roman"/>
          <w:sz w:val="24"/>
          <w:szCs w:val="24"/>
          <w:lang w:val="es-PR"/>
        </w:rPr>
        <w:t xml:space="preserve">, </w:t>
      </w:r>
      <w:r w:rsidRPr="00BC3053">
        <w:rPr>
          <w:rFonts w:ascii="Century Gothic" w:hAnsi="Century Gothic" w:cs="Times New Roman"/>
          <w:sz w:val="24"/>
          <w:szCs w:val="24"/>
          <w:lang w:val="es-PR"/>
        </w:rPr>
        <w:t xml:space="preserve">en un caso en el cual se declaró </w:t>
      </w:r>
      <w:r w:rsidRPr="00BC3053">
        <w:rPr>
          <w:rFonts w:ascii="Century Gothic" w:hAnsi="Century Gothic" w:cs="BookAntiqua"/>
          <w:sz w:val="24"/>
          <w:szCs w:val="24"/>
          <w:lang w:val="es-PR"/>
        </w:rPr>
        <w:t>estorbo público una residencia</w:t>
      </w:r>
      <w:r w:rsidR="00835C64">
        <w:rPr>
          <w:rFonts w:ascii="Century Gothic" w:hAnsi="Century Gothic" w:cs="BookAntiqua"/>
          <w:sz w:val="24"/>
          <w:szCs w:val="24"/>
          <w:lang w:val="es-PR"/>
        </w:rPr>
        <w:t xml:space="preserve"> </w:t>
      </w:r>
      <w:r w:rsidRPr="00BC3053">
        <w:rPr>
          <w:rFonts w:ascii="Century Gothic" w:hAnsi="Century Gothic" w:cs="BookAntiqua"/>
          <w:sz w:val="24"/>
          <w:szCs w:val="24"/>
          <w:lang w:val="es-PR"/>
        </w:rPr>
        <w:t>cuyo titular es el Banco Popular</w:t>
      </w:r>
      <w:r w:rsidR="00266C36" w:rsidRPr="00BC3053">
        <w:rPr>
          <w:rFonts w:ascii="Century Gothic" w:hAnsi="Century Gothic" w:cs="BookAntiqua"/>
          <w:sz w:val="24"/>
          <w:szCs w:val="24"/>
          <w:lang w:val="es-PR"/>
        </w:rPr>
        <w:t>,</w:t>
      </w:r>
      <w:r w:rsidRPr="00BC3053">
        <w:rPr>
          <w:rFonts w:ascii="Century Gothic" w:hAnsi="Century Gothic" w:cs="BookAntiqua"/>
          <w:sz w:val="24"/>
          <w:szCs w:val="24"/>
          <w:lang w:val="es-PR"/>
        </w:rPr>
        <w:t xml:space="preserve"> sin cumplir con los requisitos de ley</w:t>
      </w:r>
      <w:r w:rsidR="00835C64">
        <w:rPr>
          <w:rFonts w:ascii="Century Gothic" w:hAnsi="Century Gothic" w:cs="BookAntiqua"/>
          <w:sz w:val="24"/>
          <w:szCs w:val="24"/>
          <w:lang w:val="es-PR"/>
        </w:rPr>
        <w:t xml:space="preserve"> de notificación a esta entidad.  </w:t>
      </w:r>
      <w:r w:rsidRPr="00BC3053">
        <w:rPr>
          <w:rFonts w:ascii="Century Gothic" w:hAnsi="Century Gothic" w:cs="BookAntiqua"/>
          <w:sz w:val="24"/>
          <w:szCs w:val="24"/>
          <w:lang w:val="es-PR"/>
        </w:rPr>
        <w:t xml:space="preserve">Según alega el Banco, desde el año 2019 le había estado dando mantenimiento mensual a la propiedad, hasta que en julio de 2022, el guardia de la urbanización no le permitió el acceso alegando que el residente de otra casa en la urbanización le dio esas instrucciones. Aparentemente, señala el Banco, el Municipio </w:t>
      </w:r>
      <w:r w:rsidR="00266C36" w:rsidRPr="00BC3053">
        <w:rPr>
          <w:rFonts w:ascii="Century Gothic" w:hAnsi="Century Gothic" w:cs="BookAntiqua"/>
          <w:sz w:val="24"/>
          <w:szCs w:val="24"/>
          <w:lang w:val="es-PR"/>
        </w:rPr>
        <w:t xml:space="preserve">se comprometió a vender la propiedad del BPPR a </w:t>
      </w:r>
      <w:r w:rsidRPr="00BC3053">
        <w:rPr>
          <w:rFonts w:ascii="Century Gothic" w:hAnsi="Century Gothic" w:cs="BookAntiqua"/>
          <w:sz w:val="24"/>
          <w:szCs w:val="24"/>
          <w:lang w:val="es-PR"/>
        </w:rPr>
        <w:t>familiares de esa otra casa. El pleito, con el Núm</w:t>
      </w:r>
      <w:r w:rsidR="00B85D25" w:rsidRPr="00BC3053">
        <w:rPr>
          <w:rFonts w:ascii="Century Gothic" w:hAnsi="Century Gothic" w:cs="BookAntiqua"/>
          <w:sz w:val="24"/>
          <w:szCs w:val="24"/>
          <w:lang w:val="es-PR"/>
        </w:rPr>
        <w:t>ero d</w:t>
      </w:r>
      <w:r w:rsidRPr="00BC3053">
        <w:rPr>
          <w:rFonts w:ascii="Century Gothic" w:hAnsi="Century Gothic" w:cs="BookAntiqua"/>
          <w:sz w:val="24"/>
          <w:szCs w:val="24"/>
          <w:lang w:val="es-PR"/>
        </w:rPr>
        <w:t>e caso CG2021CV03096, continúa ante la consideración del Tribunal</w:t>
      </w:r>
      <w:r w:rsidR="00B85D25" w:rsidRPr="00BC3053">
        <w:rPr>
          <w:rFonts w:ascii="Century Gothic" w:hAnsi="Century Gothic" w:cs="BookAntiqua"/>
          <w:sz w:val="24"/>
          <w:szCs w:val="24"/>
          <w:lang w:val="es-PR"/>
        </w:rPr>
        <w:t>.</w:t>
      </w:r>
    </w:p>
    <w:p w14:paraId="77AB6CAC" w14:textId="2836A0E6" w:rsidR="00B85D25" w:rsidRPr="00BC3053" w:rsidRDefault="00B85D25" w:rsidP="00266C36">
      <w:pPr>
        <w:spacing w:line="240" w:lineRule="auto"/>
        <w:ind w:firstLine="360"/>
        <w:jc w:val="both"/>
        <w:rPr>
          <w:rFonts w:ascii="Century Gothic" w:hAnsi="Century Gothic" w:cs="BookAntiqua"/>
          <w:sz w:val="24"/>
          <w:szCs w:val="24"/>
          <w:lang w:val="es-PR"/>
        </w:rPr>
      </w:pPr>
      <w:r w:rsidRPr="00BC3053">
        <w:rPr>
          <w:rFonts w:ascii="Century Gothic" w:hAnsi="Century Gothic" w:cs="BookAntiqua"/>
          <w:sz w:val="24"/>
          <w:szCs w:val="24"/>
          <w:lang w:val="es-PR"/>
        </w:rPr>
        <w:t>En el caso del Banco Popular, aparentemente la notificación de declaración de estorbo público – que según el Código Municipal debe realizarse cumpliendo sustancialmente con los requisitos de emplazamientos de las Reglas de Procedimiento Civil- se hizo mediante el envío de un fax al banco que era el dueño anterior de la propiedad.  Pero en agosto de 2019, un ciudadano recibe una</w:t>
      </w:r>
      <w:r w:rsidRPr="00BC3053">
        <w:rPr>
          <w:rFonts w:ascii="Century Gothic" w:hAnsi="Century Gothic" w:cs="BookAntiqua"/>
          <w:b/>
          <w:sz w:val="24"/>
          <w:szCs w:val="24"/>
          <w:lang w:val="es-PR"/>
        </w:rPr>
        <w:t xml:space="preserve"> notificación por Facebook, en papel timbrado del Municipio Autónomo de Las Piedras</w:t>
      </w:r>
      <w:r w:rsidRPr="00BC3053">
        <w:rPr>
          <w:rFonts w:ascii="Century Gothic" w:hAnsi="Century Gothic" w:cs="BookAntiqua"/>
          <w:sz w:val="24"/>
          <w:szCs w:val="24"/>
          <w:lang w:val="es-PR"/>
        </w:rPr>
        <w:t xml:space="preserve">, indicando que Universal </w:t>
      </w:r>
      <w:proofErr w:type="spellStart"/>
      <w:r w:rsidRPr="00BC3053">
        <w:rPr>
          <w:rFonts w:ascii="Century Gothic" w:hAnsi="Century Gothic" w:cs="BookAntiqua"/>
          <w:sz w:val="24"/>
          <w:szCs w:val="24"/>
          <w:lang w:val="es-PR"/>
        </w:rPr>
        <w:t>Properties</w:t>
      </w:r>
      <w:proofErr w:type="spellEnd"/>
      <w:r w:rsidRPr="00BC3053">
        <w:rPr>
          <w:rFonts w:ascii="Century Gothic" w:hAnsi="Century Gothic" w:cs="BookAntiqua"/>
          <w:sz w:val="24"/>
          <w:szCs w:val="24"/>
          <w:lang w:val="es-PR"/>
        </w:rPr>
        <w:t xml:space="preserve"> </w:t>
      </w:r>
      <w:proofErr w:type="spellStart"/>
      <w:r w:rsidRPr="00BC3053">
        <w:rPr>
          <w:rFonts w:ascii="Century Gothic" w:hAnsi="Century Gothic" w:cs="BookAntiqua"/>
          <w:sz w:val="24"/>
          <w:szCs w:val="24"/>
          <w:lang w:val="es-PR"/>
        </w:rPr>
        <w:t>Realty</w:t>
      </w:r>
      <w:proofErr w:type="spellEnd"/>
      <w:r w:rsidRPr="00BC3053">
        <w:rPr>
          <w:rFonts w:ascii="Century Gothic" w:hAnsi="Century Gothic" w:cs="BookAntiqua"/>
          <w:sz w:val="24"/>
          <w:szCs w:val="24"/>
          <w:lang w:val="es-PR"/>
        </w:rPr>
        <w:t xml:space="preserve"> </w:t>
      </w:r>
      <w:proofErr w:type="spellStart"/>
      <w:r w:rsidRPr="00BC3053">
        <w:rPr>
          <w:rFonts w:ascii="Century Gothic" w:hAnsi="Century Gothic" w:cs="BookAntiqua"/>
          <w:sz w:val="24"/>
          <w:szCs w:val="24"/>
          <w:lang w:val="es-PR"/>
        </w:rPr>
        <w:t>Government</w:t>
      </w:r>
      <w:proofErr w:type="spellEnd"/>
      <w:r w:rsidRPr="00BC3053">
        <w:rPr>
          <w:rFonts w:ascii="Century Gothic" w:hAnsi="Century Gothic" w:cs="BookAntiqua"/>
          <w:sz w:val="24"/>
          <w:szCs w:val="24"/>
          <w:lang w:val="es-PR"/>
        </w:rPr>
        <w:t xml:space="preserve"> </w:t>
      </w:r>
      <w:proofErr w:type="spellStart"/>
      <w:r w:rsidRPr="00BC3053">
        <w:rPr>
          <w:rFonts w:ascii="Century Gothic" w:hAnsi="Century Gothic" w:cs="BookAntiqua"/>
          <w:sz w:val="24"/>
          <w:szCs w:val="24"/>
          <w:lang w:val="es-PR"/>
        </w:rPr>
        <w:t>Services</w:t>
      </w:r>
      <w:proofErr w:type="spellEnd"/>
      <w:r w:rsidRPr="00BC3053">
        <w:rPr>
          <w:rFonts w:ascii="Century Gothic" w:hAnsi="Century Gothic" w:cs="BookAntiqua"/>
          <w:sz w:val="24"/>
          <w:szCs w:val="24"/>
          <w:lang w:val="es-PR"/>
        </w:rPr>
        <w:t>, LLC, en su cará</w:t>
      </w:r>
      <w:r w:rsidR="00D60BD0">
        <w:rPr>
          <w:rFonts w:ascii="Century Gothic" w:hAnsi="Century Gothic" w:cs="BookAntiqua"/>
          <w:sz w:val="24"/>
          <w:szCs w:val="24"/>
          <w:lang w:val="es-PR"/>
        </w:rPr>
        <w:t>cter de “agente municipal” tenía</w:t>
      </w:r>
      <w:r w:rsidRPr="00BC3053">
        <w:rPr>
          <w:rFonts w:ascii="Century Gothic" w:hAnsi="Century Gothic" w:cs="BookAntiqua"/>
          <w:sz w:val="24"/>
          <w:szCs w:val="24"/>
          <w:lang w:val="es-PR"/>
        </w:rPr>
        <w:t xml:space="preserve"> intención de declarar estorbo público su propiedad</w:t>
      </w:r>
      <w:r w:rsidR="00D60BD0">
        <w:rPr>
          <w:rFonts w:ascii="Century Gothic" w:hAnsi="Century Gothic" w:cs="BookAntiqua"/>
          <w:sz w:val="24"/>
          <w:szCs w:val="24"/>
          <w:lang w:val="es-PR"/>
        </w:rPr>
        <w:t xml:space="preserve">, </w:t>
      </w:r>
      <w:r w:rsidRPr="00BC3053">
        <w:rPr>
          <w:rFonts w:ascii="Century Gothic" w:hAnsi="Century Gothic" w:cs="BookAntiqua"/>
          <w:sz w:val="24"/>
          <w:szCs w:val="24"/>
          <w:lang w:val="es-PR"/>
        </w:rPr>
        <w:t xml:space="preserve">  que es un almacén en perfectas condiciones, con servicios de agua y electricidad, y con sus contribuciones al día. El ciudadano contesta, haciendo constar su objeción, pero no recibe respuesta.  Lo que sí ocurre es que la Autoridad de Energía Eléctrica le descontinúa el servicio, porque les habían notificado que el almacén había sido declarado estorbo público. El ciudadano demandó en daños al Municipio y a Universal. Ver </w:t>
      </w:r>
      <w:r w:rsidRPr="00BC3053">
        <w:rPr>
          <w:rFonts w:ascii="Century Gothic" w:hAnsi="Century Gothic" w:cs="BookAntiqua"/>
          <w:i/>
          <w:iCs/>
          <w:sz w:val="24"/>
          <w:szCs w:val="24"/>
          <w:lang w:val="es-PR"/>
        </w:rPr>
        <w:t>Anejo 1</w:t>
      </w:r>
      <w:r w:rsidR="00596947" w:rsidRPr="00BC3053">
        <w:rPr>
          <w:rFonts w:ascii="Century Gothic" w:hAnsi="Century Gothic" w:cs="BookAntiqua"/>
          <w:i/>
          <w:iCs/>
          <w:sz w:val="24"/>
          <w:szCs w:val="24"/>
          <w:lang w:val="es-PR"/>
        </w:rPr>
        <w:t>2</w:t>
      </w:r>
      <w:r w:rsidRPr="00BC3053">
        <w:rPr>
          <w:rFonts w:ascii="Century Gothic" w:hAnsi="Century Gothic" w:cs="BookAntiqua"/>
          <w:sz w:val="24"/>
          <w:szCs w:val="24"/>
          <w:lang w:val="es-PR"/>
        </w:rPr>
        <w:t xml:space="preserve">, </w:t>
      </w:r>
      <w:r w:rsidR="00A74F85" w:rsidRPr="00BC3053">
        <w:rPr>
          <w:rFonts w:ascii="Century Gothic" w:hAnsi="Century Gothic" w:cs="BookAntiqua"/>
          <w:i/>
          <w:sz w:val="24"/>
          <w:szCs w:val="24"/>
          <w:lang w:val="es-PR"/>
        </w:rPr>
        <w:t>Demanda,</w:t>
      </w:r>
      <w:r w:rsidRPr="00BC3053">
        <w:rPr>
          <w:rFonts w:ascii="Century Gothic" w:hAnsi="Century Gothic" w:cs="BookAntiqua"/>
          <w:i/>
          <w:sz w:val="24"/>
          <w:szCs w:val="24"/>
          <w:lang w:val="es-PR"/>
        </w:rPr>
        <w:t xml:space="preserve"> Sanabria v. Municipio Autónomo de Las</w:t>
      </w:r>
      <w:r w:rsidRPr="00BC3053">
        <w:rPr>
          <w:rFonts w:ascii="Century Gothic" w:hAnsi="Century Gothic" w:cs="BookAntiqua"/>
          <w:sz w:val="24"/>
          <w:szCs w:val="24"/>
          <w:lang w:val="es-PR"/>
        </w:rPr>
        <w:t xml:space="preserve"> </w:t>
      </w:r>
      <w:r w:rsidRPr="00BC3053">
        <w:rPr>
          <w:rFonts w:ascii="Century Gothic" w:hAnsi="Century Gothic" w:cs="BookAntiqua"/>
          <w:i/>
          <w:sz w:val="24"/>
          <w:szCs w:val="24"/>
          <w:lang w:val="es-PR"/>
        </w:rPr>
        <w:t>Piedras</w:t>
      </w:r>
      <w:r w:rsidRPr="00BC3053">
        <w:rPr>
          <w:rFonts w:ascii="Century Gothic" w:hAnsi="Century Gothic" w:cs="BookAntiqua"/>
          <w:sz w:val="24"/>
          <w:szCs w:val="24"/>
          <w:lang w:val="es-PR"/>
        </w:rPr>
        <w:t xml:space="preserve">, HU2019CV01588. </w:t>
      </w:r>
    </w:p>
    <w:p w14:paraId="3A648AAC" w14:textId="45A14088" w:rsidR="00134A6F" w:rsidRPr="00BC3053" w:rsidRDefault="004A614D" w:rsidP="00A74F85">
      <w:pPr>
        <w:ind w:firstLine="360"/>
        <w:jc w:val="both"/>
        <w:rPr>
          <w:rFonts w:ascii="Century Gothic" w:hAnsi="Century Gothic" w:cs="Times New Roman"/>
          <w:sz w:val="24"/>
          <w:szCs w:val="24"/>
          <w:lang w:val="es-PR"/>
        </w:rPr>
      </w:pPr>
      <w:r w:rsidRPr="00BC3053">
        <w:rPr>
          <w:rFonts w:ascii="Century Gothic" w:hAnsi="Century Gothic" w:cs="Times New Roman"/>
          <w:sz w:val="24"/>
          <w:szCs w:val="24"/>
          <w:lang w:val="es-PR"/>
        </w:rPr>
        <w:lastRenderedPageBreak/>
        <w:t xml:space="preserve">La falsedad de la información utilizada para adelantar el esquema fraudulento de declaración de estorbos públicos y expropiación se extiende a otros documentos, más allá de los contratos. </w:t>
      </w:r>
      <w:r w:rsidR="004E3A8D" w:rsidRPr="00BC3053">
        <w:rPr>
          <w:rFonts w:ascii="Century Gothic" w:hAnsi="Century Gothic" w:cs="Times New Roman"/>
          <w:sz w:val="24"/>
          <w:szCs w:val="24"/>
          <w:lang w:val="es-PR"/>
        </w:rPr>
        <w:t>El Tribunal de Primera Instancia en Humac</w:t>
      </w:r>
      <w:r w:rsidRPr="00BC3053">
        <w:rPr>
          <w:rFonts w:ascii="Century Gothic" w:hAnsi="Century Gothic" w:cs="Times New Roman"/>
          <w:sz w:val="24"/>
          <w:szCs w:val="24"/>
          <w:lang w:val="es-PR"/>
        </w:rPr>
        <w:t>a</w:t>
      </w:r>
      <w:r w:rsidR="004E3A8D" w:rsidRPr="00BC3053">
        <w:rPr>
          <w:rFonts w:ascii="Century Gothic" w:hAnsi="Century Gothic" w:cs="Times New Roman"/>
          <w:sz w:val="24"/>
          <w:szCs w:val="24"/>
          <w:lang w:val="es-PR"/>
        </w:rPr>
        <w:t xml:space="preserve">o emitió </w:t>
      </w:r>
      <w:r w:rsidR="004E3A8D" w:rsidRPr="00BC3053">
        <w:rPr>
          <w:rFonts w:ascii="Century Gothic" w:hAnsi="Century Gothic" w:cs="Times New Roman"/>
          <w:b/>
          <w:sz w:val="24"/>
          <w:szCs w:val="24"/>
          <w:lang w:val="es-PR"/>
        </w:rPr>
        <w:t>Sentencia</w:t>
      </w:r>
      <w:r w:rsidR="004E3A8D" w:rsidRPr="00BC3053">
        <w:rPr>
          <w:rFonts w:ascii="Century Gothic" w:hAnsi="Century Gothic" w:cs="Times New Roman"/>
          <w:sz w:val="24"/>
          <w:szCs w:val="24"/>
          <w:lang w:val="es-PR"/>
        </w:rPr>
        <w:t xml:space="preserve"> con fecha del 8 de diciembre de 2021 en el caso</w:t>
      </w:r>
      <w:r w:rsidR="004E3A8D" w:rsidRPr="00BC3053">
        <w:rPr>
          <w:rFonts w:ascii="Century Gothic" w:hAnsi="Century Gothic" w:cs="Times New Roman"/>
          <w:b/>
          <w:sz w:val="24"/>
          <w:szCs w:val="24"/>
          <w:lang w:val="es-PR"/>
        </w:rPr>
        <w:t xml:space="preserve"> Municipio de Las Piedras</w:t>
      </w:r>
      <w:r w:rsidR="004E3A8D" w:rsidRPr="00BC3053">
        <w:rPr>
          <w:rFonts w:ascii="Century Gothic" w:hAnsi="Century Gothic" w:cs="Times New Roman"/>
          <w:sz w:val="24"/>
          <w:szCs w:val="24"/>
          <w:lang w:val="es-PR"/>
        </w:rPr>
        <w:t xml:space="preserve"> v. Ruth Noelia Ramos y otros, Número LP2020CV00178, sobre expropiación forzosa, y encontró probado lo siguiente: (a) que la información provista en la demanda, según la cual la casa a expropiarse no tenía puertas, ventanas o verja, es falsa</w:t>
      </w:r>
      <w:r w:rsidR="00BB7299" w:rsidRPr="00BC3053">
        <w:rPr>
          <w:rFonts w:ascii="Century Gothic" w:hAnsi="Century Gothic" w:cs="Times New Roman"/>
          <w:sz w:val="24"/>
          <w:szCs w:val="24"/>
          <w:lang w:val="es-PR"/>
        </w:rPr>
        <w:t>;</w:t>
      </w:r>
      <w:r w:rsidR="004E3A8D" w:rsidRPr="00BC3053">
        <w:rPr>
          <w:rFonts w:ascii="Century Gothic" w:hAnsi="Century Gothic" w:cs="Times New Roman"/>
          <w:sz w:val="24"/>
          <w:szCs w:val="24"/>
          <w:lang w:val="es-PR"/>
        </w:rPr>
        <w:t xml:space="preserve"> (b) que la propiedad no tenía deudas con el CRIM</w:t>
      </w:r>
      <w:r w:rsidR="00BB7299" w:rsidRPr="00BC3053">
        <w:rPr>
          <w:rFonts w:ascii="Century Gothic" w:hAnsi="Century Gothic" w:cs="Times New Roman"/>
          <w:sz w:val="24"/>
          <w:szCs w:val="24"/>
          <w:lang w:val="es-PR"/>
        </w:rPr>
        <w:t>;</w:t>
      </w:r>
      <w:r w:rsidR="004E3A8D" w:rsidRPr="00BC3053">
        <w:rPr>
          <w:rFonts w:ascii="Century Gothic" w:hAnsi="Century Gothic" w:cs="Times New Roman"/>
          <w:sz w:val="24"/>
          <w:szCs w:val="24"/>
          <w:lang w:val="es-PR"/>
        </w:rPr>
        <w:t xml:space="preserve"> (c) que en el 1995 el terreno, sin estructura aun construida, tenía un valor de $33,000</w:t>
      </w:r>
      <w:r w:rsidR="00BB7299" w:rsidRPr="00BC3053">
        <w:rPr>
          <w:rFonts w:ascii="Century Gothic" w:hAnsi="Century Gothic" w:cs="Times New Roman"/>
          <w:sz w:val="24"/>
          <w:szCs w:val="24"/>
          <w:lang w:val="es-PR"/>
        </w:rPr>
        <w:t>;</w:t>
      </w:r>
      <w:r w:rsidR="004E3A8D" w:rsidRPr="00BC3053">
        <w:rPr>
          <w:rFonts w:ascii="Century Gothic" w:hAnsi="Century Gothic" w:cs="Times New Roman"/>
          <w:sz w:val="24"/>
          <w:szCs w:val="24"/>
          <w:lang w:val="es-PR"/>
        </w:rPr>
        <w:t xml:space="preserve"> (</w:t>
      </w:r>
      <w:r w:rsidR="00BB7299" w:rsidRPr="00BC3053">
        <w:rPr>
          <w:rFonts w:ascii="Century Gothic" w:hAnsi="Century Gothic" w:cs="Times New Roman"/>
          <w:sz w:val="24"/>
          <w:szCs w:val="24"/>
          <w:lang w:val="es-PR"/>
        </w:rPr>
        <w:t>d</w:t>
      </w:r>
      <w:r w:rsidR="004E3A8D" w:rsidRPr="00BC3053">
        <w:rPr>
          <w:rFonts w:ascii="Century Gothic" w:hAnsi="Century Gothic" w:cs="Times New Roman"/>
          <w:sz w:val="24"/>
          <w:szCs w:val="24"/>
          <w:lang w:val="es-PR"/>
        </w:rPr>
        <w:t xml:space="preserve">) que la tasación </w:t>
      </w:r>
      <w:r w:rsidR="00590C2A" w:rsidRPr="00BC3053">
        <w:rPr>
          <w:rFonts w:ascii="Century Gothic" w:hAnsi="Century Gothic" w:cs="Times New Roman"/>
          <w:sz w:val="24"/>
          <w:szCs w:val="24"/>
          <w:lang w:val="es-PR"/>
        </w:rPr>
        <w:t>presentada por el Municipio es de $2,000 y que la factura de Universal, en la cual pide un reembolso de $20,567.25 es irreconciliable con ese valor</w:t>
      </w:r>
      <w:r w:rsidR="00BB7299" w:rsidRPr="00BC3053">
        <w:rPr>
          <w:rFonts w:ascii="Century Gothic" w:hAnsi="Century Gothic" w:cs="Times New Roman"/>
          <w:sz w:val="24"/>
          <w:szCs w:val="24"/>
          <w:lang w:val="es-PR"/>
        </w:rPr>
        <w:t>;</w:t>
      </w:r>
      <w:r w:rsidR="00590C2A" w:rsidRPr="00BC3053">
        <w:rPr>
          <w:rFonts w:ascii="Century Gothic" w:hAnsi="Century Gothic" w:cs="Times New Roman"/>
          <w:sz w:val="24"/>
          <w:szCs w:val="24"/>
          <w:lang w:val="es-PR"/>
        </w:rPr>
        <w:t xml:space="preserve"> (</w:t>
      </w:r>
      <w:r w:rsidR="00BB7299" w:rsidRPr="00BC3053">
        <w:rPr>
          <w:rFonts w:ascii="Century Gothic" w:hAnsi="Century Gothic" w:cs="Times New Roman"/>
          <w:sz w:val="24"/>
          <w:szCs w:val="24"/>
          <w:lang w:val="es-PR"/>
        </w:rPr>
        <w:t>e</w:t>
      </w:r>
      <w:r w:rsidR="00590C2A" w:rsidRPr="00BC3053">
        <w:rPr>
          <w:rFonts w:ascii="Century Gothic" w:hAnsi="Century Gothic" w:cs="Times New Roman"/>
          <w:sz w:val="24"/>
          <w:szCs w:val="24"/>
          <w:lang w:val="es-PR"/>
        </w:rPr>
        <w:t>)que los gastos detallados “son increíbles como cobrar $343.75 por una certificación del CRIM que se puede pedir electrónicamente por un costo mínimo de menos de $5.00”, y otros tales como $350.00 por “</w:t>
      </w:r>
      <w:proofErr w:type="spellStart"/>
      <w:r w:rsidR="00590C2A" w:rsidRPr="00BC3053">
        <w:rPr>
          <w:rFonts w:ascii="Century Gothic" w:hAnsi="Century Gothic" w:cs="Times New Roman"/>
          <w:sz w:val="24"/>
          <w:szCs w:val="24"/>
          <w:lang w:val="es-PR"/>
        </w:rPr>
        <w:t>website</w:t>
      </w:r>
      <w:proofErr w:type="spellEnd"/>
      <w:r w:rsidR="00590C2A" w:rsidRPr="00BC3053">
        <w:rPr>
          <w:rFonts w:ascii="Century Gothic" w:hAnsi="Century Gothic" w:cs="Times New Roman"/>
          <w:sz w:val="24"/>
          <w:szCs w:val="24"/>
          <w:lang w:val="es-PR"/>
        </w:rPr>
        <w:t xml:space="preserve"> data”, $150.00 “por identificar la propiedad y $100.00 por “resolución de problemas de comunicación”.  El Tribunal toma además co</w:t>
      </w:r>
      <w:r w:rsidR="00F8572E" w:rsidRPr="00BC3053">
        <w:rPr>
          <w:rFonts w:ascii="Century Gothic" w:hAnsi="Century Gothic" w:cs="Times New Roman"/>
          <w:sz w:val="24"/>
          <w:szCs w:val="24"/>
          <w:lang w:val="es-PR"/>
        </w:rPr>
        <w:t>n</w:t>
      </w:r>
      <w:r w:rsidR="00590C2A" w:rsidRPr="00BC3053">
        <w:rPr>
          <w:rFonts w:ascii="Century Gothic" w:hAnsi="Century Gothic" w:cs="Times New Roman"/>
          <w:sz w:val="24"/>
          <w:szCs w:val="24"/>
          <w:lang w:val="es-PR"/>
        </w:rPr>
        <w:t xml:space="preserve">ocimiento judicial de que </w:t>
      </w:r>
      <w:r w:rsidR="00590C2A" w:rsidRPr="00BC3053">
        <w:rPr>
          <w:rFonts w:ascii="Century Gothic" w:hAnsi="Century Gothic" w:cs="Times New Roman"/>
          <w:b/>
          <w:sz w:val="24"/>
          <w:szCs w:val="24"/>
          <w:lang w:val="es-PR"/>
        </w:rPr>
        <w:t xml:space="preserve">hay 8 casos de expropiación forzosa presentados por el Municipio de Las Piedras “en los que se está incluyendo como parte a Universal </w:t>
      </w:r>
      <w:proofErr w:type="spellStart"/>
      <w:r w:rsidR="00590C2A" w:rsidRPr="00BC3053">
        <w:rPr>
          <w:rFonts w:ascii="Century Gothic" w:hAnsi="Century Gothic" w:cs="Times New Roman"/>
          <w:b/>
          <w:sz w:val="24"/>
          <w:szCs w:val="24"/>
          <w:lang w:val="es-PR"/>
        </w:rPr>
        <w:t>Properties</w:t>
      </w:r>
      <w:proofErr w:type="spellEnd"/>
      <w:r w:rsidR="00590C2A" w:rsidRPr="00BC3053">
        <w:rPr>
          <w:rFonts w:ascii="Century Gothic" w:hAnsi="Century Gothic" w:cs="Times New Roman"/>
          <w:b/>
          <w:sz w:val="24"/>
          <w:szCs w:val="24"/>
          <w:lang w:val="es-PR"/>
        </w:rPr>
        <w:t xml:space="preserve"> y se está incluyendo una factura igual.</w:t>
      </w:r>
      <w:r w:rsidR="00590C2A" w:rsidRPr="00BC3053">
        <w:rPr>
          <w:rFonts w:ascii="Century Gothic" w:hAnsi="Century Gothic" w:cs="Times New Roman"/>
          <w:sz w:val="24"/>
          <w:szCs w:val="24"/>
          <w:lang w:val="es-PR"/>
        </w:rPr>
        <w:t xml:space="preserve"> </w:t>
      </w:r>
      <w:r w:rsidRPr="00BC3053">
        <w:rPr>
          <w:rFonts w:ascii="Century Gothic" w:hAnsi="Century Gothic" w:cs="Times New Roman"/>
          <w:sz w:val="24"/>
          <w:szCs w:val="24"/>
          <w:lang w:val="es-PR"/>
        </w:rPr>
        <w:t>(</w:t>
      </w:r>
      <w:r w:rsidR="00EE3A41" w:rsidRPr="00BC3053">
        <w:rPr>
          <w:rFonts w:ascii="Century Gothic" w:hAnsi="Century Gothic" w:cs="Times New Roman"/>
          <w:sz w:val="24"/>
          <w:szCs w:val="24"/>
          <w:lang w:val="es-PR"/>
        </w:rPr>
        <w:t>Énfasis</w:t>
      </w:r>
      <w:r w:rsidRPr="00BC3053">
        <w:rPr>
          <w:rFonts w:ascii="Century Gothic" w:hAnsi="Century Gothic" w:cs="Times New Roman"/>
          <w:sz w:val="24"/>
          <w:szCs w:val="24"/>
          <w:lang w:val="es-PR"/>
        </w:rPr>
        <w:t xml:space="preserve"> suplido) </w:t>
      </w:r>
      <w:r w:rsidR="00590C2A" w:rsidRPr="00BC3053">
        <w:rPr>
          <w:rFonts w:ascii="Century Gothic" w:hAnsi="Century Gothic" w:cs="Times New Roman"/>
          <w:sz w:val="24"/>
          <w:szCs w:val="24"/>
          <w:lang w:val="es-PR"/>
        </w:rPr>
        <w:t xml:space="preserve">De esos 8 casos, 2 están ante la consideración de esta Juez y en ambos, </w:t>
      </w:r>
      <w:proofErr w:type="spellStart"/>
      <w:r w:rsidR="00590C2A" w:rsidRPr="00BC3053">
        <w:rPr>
          <w:rFonts w:ascii="Century Gothic" w:hAnsi="Century Gothic" w:cs="Times New Roman"/>
          <w:sz w:val="24"/>
          <w:szCs w:val="24"/>
          <w:lang w:val="es-PR"/>
        </w:rPr>
        <w:t>aún</w:t>
      </w:r>
      <w:proofErr w:type="spellEnd"/>
      <w:r w:rsidR="00590C2A" w:rsidRPr="00BC3053">
        <w:rPr>
          <w:rFonts w:ascii="Century Gothic" w:hAnsi="Century Gothic" w:cs="Times New Roman"/>
          <w:sz w:val="24"/>
          <w:szCs w:val="24"/>
          <w:lang w:val="es-PR"/>
        </w:rPr>
        <w:t xml:space="preserve"> cuando las propiedades tienen un valor de tasación, cabida y condiciones distintas, la factura de Universal es exactamente la misma”. Para agravar la situa</w:t>
      </w:r>
      <w:r w:rsidR="00FF32CF" w:rsidRPr="00BC3053">
        <w:rPr>
          <w:rFonts w:ascii="Century Gothic" w:hAnsi="Century Gothic" w:cs="Times New Roman"/>
          <w:sz w:val="24"/>
          <w:szCs w:val="24"/>
          <w:lang w:val="es-PR"/>
        </w:rPr>
        <w:t xml:space="preserve">ción, resulta que el Municipio, mediante proceso separado, ya se había comprometido a vender la propiedad a otra persona, que con dinero de su póliza de cáncer entregó $20,000 a la administración municipal, a pesar de que el valor de tasación según Universal era de $2,000. </w:t>
      </w:r>
      <w:r w:rsidR="00C1481F" w:rsidRPr="00BC3053">
        <w:rPr>
          <w:rFonts w:ascii="Century Gothic" w:hAnsi="Century Gothic" w:cs="Times New Roman"/>
          <w:sz w:val="24"/>
          <w:szCs w:val="24"/>
          <w:lang w:val="es-PR"/>
        </w:rPr>
        <w:t>Concluye el Tribunal, por voz de la jueza Itzel Marie Aguilar, que “claramente dicha disparidad sólo se justifica en poder compensar unos gastos incurridos por Universal que nos parecen desmedidos, inexactos e innecesarios”. Sobre</w:t>
      </w:r>
      <w:r w:rsidRPr="00BC3053">
        <w:rPr>
          <w:rFonts w:ascii="Century Gothic" w:hAnsi="Century Gothic" w:cs="Times New Roman"/>
          <w:sz w:val="24"/>
          <w:szCs w:val="24"/>
          <w:lang w:val="es-PR"/>
        </w:rPr>
        <w:t xml:space="preserve"> los trámites paralelos, dictam</w:t>
      </w:r>
      <w:r w:rsidR="00C1481F" w:rsidRPr="00BC3053">
        <w:rPr>
          <w:rFonts w:ascii="Century Gothic" w:hAnsi="Century Gothic" w:cs="Times New Roman"/>
          <w:sz w:val="24"/>
          <w:szCs w:val="24"/>
          <w:lang w:val="es-PR"/>
        </w:rPr>
        <w:t xml:space="preserve">ina “el Municipio no puede vender y cobrar por lo que todavía no le pertenece”. </w:t>
      </w:r>
      <w:r w:rsidR="00172F62" w:rsidRPr="00BC3053">
        <w:rPr>
          <w:rFonts w:ascii="Century Gothic" w:hAnsi="Century Gothic" w:cs="Times New Roman"/>
          <w:sz w:val="24"/>
          <w:szCs w:val="24"/>
          <w:lang w:val="es-PR"/>
        </w:rPr>
        <w:t xml:space="preserve">Ver </w:t>
      </w:r>
      <w:r w:rsidR="00172F62" w:rsidRPr="00BC3053">
        <w:rPr>
          <w:rFonts w:ascii="Century Gothic" w:hAnsi="Century Gothic" w:cs="Times New Roman"/>
          <w:i/>
          <w:iCs/>
          <w:sz w:val="24"/>
          <w:szCs w:val="24"/>
          <w:lang w:val="es-PR"/>
        </w:rPr>
        <w:t xml:space="preserve">Anejo </w:t>
      </w:r>
      <w:r w:rsidR="005229C6" w:rsidRPr="00BC3053">
        <w:rPr>
          <w:rFonts w:ascii="Century Gothic" w:hAnsi="Century Gothic" w:cs="Times New Roman"/>
          <w:i/>
          <w:iCs/>
          <w:sz w:val="24"/>
          <w:szCs w:val="24"/>
          <w:lang w:val="es-PR"/>
        </w:rPr>
        <w:t>13</w:t>
      </w:r>
      <w:r w:rsidR="00590C2A" w:rsidRPr="00BC3053">
        <w:rPr>
          <w:rFonts w:ascii="Century Gothic" w:hAnsi="Century Gothic" w:cs="Times New Roman"/>
          <w:sz w:val="24"/>
          <w:szCs w:val="24"/>
          <w:lang w:val="es-PR"/>
        </w:rPr>
        <w:t>, Sentencia Municipio de Las Piedras v. Ruth Noelia Ramos y otros, Número LP2020CV00178</w:t>
      </w:r>
      <w:r w:rsidR="00D60BD0">
        <w:rPr>
          <w:rFonts w:ascii="Century Gothic" w:hAnsi="Century Gothic" w:cs="Times New Roman"/>
          <w:sz w:val="24"/>
          <w:szCs w:val="24"/>
          <w:lang w:val="es-PR"/>
        </w:rPr>
        <w:t xml:space="preserve">, declarando No Ha Lugar </w:t>
      </w:r>
      <w:r w:rsidR="00C1481F" w:rsidRPr="00BC3053">
        <w:rPr>
          <w:rFonts w:ascii="Century Gothic" w:hAnsi="Century Gothic" w:cs="Times New Roman"/>
          <w:sz w:val="24"/>
          <w:szCs w:val="24"/>
          <w:lang w:val="es-PR"/>
        </w:rPr>
        <w:t>la petición de expropiación del Municipio de Las Piedras.</w:t>
      </w:r>
    </w:p>
    <w:p w14:paraId="2C3B135B" w14:textId="2020945F" w:rsidR="009B5DC2" w:rsidRPr="00BC3053" w:rsidRDefault="00C1481F" w:rsidP="00C1481F">
      <w:pPr>
        <w:ind w:firstLine="360"/>
        <w:jc w:val="both"/>
        <w:rPr>
          <w:rFonts w:ascii="Century Gothic" w:hAnsi="Century Gothic" w:cs="Times New Roman"/>
          <w:sz w:val="24"/>
          <w:szCs w:val="24"/>
          <w:lang w:val="es-PR"/>
        </w:rPr>
      </w:pPr>
      <w:r w:rsidRPr="00BC3053">
        <w:rPr>
          <w:rFonts w:ascii="Century Gothic" w:hAnsi="Century Gothic" w:cs="Times New Roman"/>
          <w:sz w:val="24"/>
          <w:szCs w:val="24"/>
          <w:lang w:val="es-PR"/>
        </w:rPr>
        <w:t xml:space="preserve">A continuación, la transcripción de la factura de $20,567.25 que Universal </w:t>
      </w:r>
      <w:proofErr w:type="spellStart"/>
      <w:r w:rsidRPr="00BC3053">
        <w:rPr>
          <w:rFonts w:ascii="Century Gothic" w:hAnsi="Century Gothic" w:cs="Times New Roman"/>
          <w:sz w:val="24"/>
          <w:szCs w:val="24"/>
          <w:lang w:val="es-PR"/>
        </w:rPr>
        <w:t>Properties</w:t>
      </w:r>
      <w:proofErr w:type="spellEnd"/>
      <w:r w:rsidRPr="00BC3053">
        <w:rPr>
          <w:rFonts w:ascii="Century Gothic" w:hAnsi="Century Gothic" w:cs="Times New Roman"/>
          <w:sz w:val="24"/>
          <w:szCs w:val="24"/>
          <w:lang w:val="es-PR"/>
        </w:rPr>
        <w:t xml:space="preserve"> sometió por la propiedad tasada en $2,000.00 según se hace constar en la Sentencia: </w:t>
      </w:r>
      <w:r w:rsidR="00210E52" w:rsidRPr="00BC3053">
        <w:rPr>
          <w:rFonts w:ascii="Century Gothic" w:hAnsi="Century Gothic" w:cs="Times New Roman"/>
          <w:sz w:val="24"/>
          <w:szCs w:val="24"/>
          <w:lang w:val="es-PR"/>
        </w:rPr>
        <w:t xml:space="preserve"> </w:t>
      </w:r>
    </w:p>
    <w:p w14:paraId="7294F9C2" w14:textId="77777777" w:rsidR="005D3070" w:rsidRPr="00BC3053" w:rsidRDefault="005D3070" w:rsidP="005D3070">
      <w:pPr>
        <w:pStyle w:val="ListParagraph"/>
        <w:rPr>
          <w:rFonts w:ascii="Century Gothic" w:hAnsi="Century Gothic" w:cs="Times New Roman"/>
          <w:sz w:val="24"/>
          <w:szCs w:val="24"/>
          <w:lang w:val="es-PR"/>
        </w:rPr>
      </w:pPr>
    </w:p>
    <w:p w14:paraId="72098735" w14:textId="5BCCEACF" w:rsidR="005D3070" w:rsidRPr="00BC3053" w:rsidRDefault="005D3070" w:rsidP="005D3070">
      <w:pPr>
        <w:pStyle w:val="ListParagraph"/>
        <w:spacing w:line="240" w:lineRule="auto"/>
        <w:jc w:val="both"/>
        <w:rPr>
          <w:rFonts w:ascii="Century Gothic" w:hAnsi="Century Gothic" w:cs="Times New Roman"/>
          <w:sz w:val="24"/>
          <w:szCs w:val="24"/>
          <w:lang w:val="es-PR"/>
        </w:rPr>
      </w:pPr>
      <w:r w:rsidRPr="00BC3053">
        <w:rPr>
          <w:rFonts w:ascii="Century Gothic" w:hAnsi="Century Gothic" w:cs="Times New Roman"/>
          <w:noProof/>
          <w:sz w:val="24"/>
          <w:szCs w:val="24"/>
          <w14:ligatures w14:val="standardContextual"/>
        </w:rPr>
        <w:lastRenderedPageBreak/>
        <w:drawing>
          <wp:inline distT="0" distB="0" distL="0" distR="0" wp14:anchorId="3D928F1C" wp14:editId="4D94AD65">
            <wp:extent cx="3765550" cy="1922201"/>
            <wp:effectExtent l="0" t="0" r="6350" b="190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4115" cy="1926573"/>
                    </a:xfrm>
                    <a:prstGeom prst="rect">
                      <a:avLst/>
                    </a:prstGeom>
                  </pic:spPr>
                </pic:pic>
              </a:graphicData>
            </a:graphic>
          </wp:inline>
        </w:drawing>
      </w:r>
    </w:p>
    <w:p w14:paraId="5F58EF59" w14:textId="368825CC" w:rsidR="00F07556" w:rsidRPr="00BC3053" w:rsidRDefault="00F07556" w:rsidP="005D3070">
      <w:pPr>
        <w:pStyle w:val="ListParagraph"/>
        <w:spacing w:line="240" w:lineRule="auto"/>
        <w:jc w:val="both"/>
        <w:rPr>
          <w:rFonts w:ascii="Century Gothic" w:hAnsi="Century Gothic" w:cs="Times New Roman"/>
          <w:sz w:val="24"/>
          <w:szCs w:val="24"/>
          <w:lang w:val="es-PR"/>
        </w:rPr>
      </w:pPr>
      <w:r w:rsidRPr="00BC3053">
        <w:rPr>
          <w:rFonts w:ascii="Century Gothic" w:hAnsi="Century Gothic" w:cs="Times New Roman"/>
          <w:noProof/>
          <w:sz w:val="24"/>
          <w:szCs w:val="24"/>
          <w14:ligatures w14:val="standardContextual"/>
        </w:rPr>
        <w:drawing>
          <wp:inline distT="0" distB="0" distL="0" distR="0" wp14:anchorId="0BE74787" wp14:editId="5A1AD2F1">
            <wp:extent cx="4038085" cy="3073001"/>
            <wp:effectExtent l="0" t="0" r="63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5427" cy="3086198"/>
                    </a:xfrm>
                    <a:prstGeom prst="rect">
                      <a:avLst/>
                    </a:prstGeom>
                  </pic:spPr>
                </pic:pic>
              </a:graphicData>
            </a:graphic>
          </wp:inline>
        </w:drawing>
      </w:r>
    </w:p>
    <w:p w14:paraId="1104B481" w14:textId="201ED695" w:rsidR="00F07556" w:rsidRPr="00BC3053" w:rsidRDefault="00F07556" w:rsidP="005D3070">
      <w:pPr>
        <w:pStyle w:val="ListParagraph"/>
        <w:spacing w:line="240" w:lineRule="auto"/>
        <w:jc w:val="both"/>
        <w:rPr>
          <w:rFonts w:ascii="Century Gothic" w:hAnsi="Century Gothic" w:cs="Times New Roman"/>
          <w:sz w:val="24"/>
          <w:szCs w:val="24"/>
          <w:lang w:val="es-PR"/>
        </w:rPr>
      </w:pPr>
      <w:r w:rsidRPr="00BC3053">
        <w:rPr>
          <w:rFonts w:ascii="Century Gothic" w:hAnsi="Century Gothic" w:cs="Times New Roman"/>
          <w:noProof/>
          <w:sz w:val="24"/>
          <w:szCs w:val="24"/>
          <w14:ligatures w14:val="standardContextual"/>
        </w:rPr>
        <w:drawing>
          <wp:anchor distT="0" distB="0" distL="114300" distR="114300" simplePos="0" relativeHeight="251658240" behindDoc="0" locked="0" layoutInCell="1" allowOverlap="1" wp14:anchorId="4CA546C7" wp14:editId="1090ABCF">
            <wp:simplePos x="0" y="0"/>
            <wp:positionH relativeFrom="column">
              <wp:posOffset>570865</wp:posOffset>
            </wp:positionH>
            <wp:positionV relativeFrom="paragraph">
              <wp:posOffset>50800</wp:posOffset>
            </wp:positionV>
            <wp:extent cx="4000500" cy="2134883"/>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0" cy="2134883"/>
                    </a:xfrm>
                    <a:prstGeom prst="rect">
                      <a:avLst/>
                    </a:prstGeom>
                  </pic:spPr>
                </pic:pic>
              </a:graphicData>
            </a:graphic>
          </wp:anchor>
        </w:drawing>
      </w:r>
    </w:p>
    <w:p w14:paraId="5D5456F5" w14:textId="77777777" w:rsidR="006833AB" w:rsidRPr="00BC3053" w:rsidRDefault="006833AB" w:rsidP="006833AB">
      <w:pPr>
        <w:pStyle w:val="ListParagraph"/>
        <w:rPr>
          <w:rFonts w:ascii="Century Gothic" w:hAnsi="Century Gothic" w:cs="Times New Roman"/>
          <w:sz w:val="24"/>
          <w:szCs w:val="24"/>
          <w:lang w:val="es-PR"/>
        </w:rPr>
      </w:pPr>
    </w:p>
    <w:p w14:paraId="0981D75D" w14:textId="77777777" w:rsidR="00F07556" w:rsidRPr="00BC3053" w:rsidRDefault="00F07556" w:rsidP="00F07556">
      <w:pPr>
        <w:pStyle w:val="ListParagraph"/>
        <w:spacing w:line="240" w:lineRule="auto"/>
        <w:jc w:val="both"/>
        <w:rPr>
          <w:rFonts w:ascii="Century Gothic" w:hAnsi="Century Gothic" w:cs="Times New Roman"/>
          <w:sz w:val="24"/>
          <w:szCs w:val="24"/>
          <w:lang w:val="es-PR"/>
        </w:rPr>
      </w:pPr>
    </w:p>
    <w:p w14:paraId="2310489C" w14:textId="77777777" w:rsidR="00F07556" w:rsidRPr="00BC3053" w:rsidRDefault="00F07556" w:rsidP="00F07556">
      <w:pPr>
        <w:pStyle w:val="ListParagraph"/>
        <w:spacing w:line="240" w:lineRule="auto"/>
        <w:jc w:val="both"/>
        <w:rPr>
          <w:rFonts w:ascii="Century Gothic" w:hAnsi="Century Gothic" w:cs="Times New Roman"/>
          <w:sz w:val="24"/>
          <w:szCs w:val="24"/>
          <w:lang w:val="es-PR"/>
        </w:rPr>
      </w:pPr>
    </w:p>
    <w:p w14:paraId="19C55092" w14:textId="77777777" w:rsidR="00F07556" w:rsidRPr="00BC3053" w:rsidRDefault="00F07556" w:rsidP="00F07556">
      <w:pPr>
        <w:pStyle w:val="ListParagraph"/>
        <w:spacing w:line="240" w:lineRule="auto"/>
        <w:jc w:val="both"/>
        <w:rPr>
          <w:rFonts w:ascii="Century Gothic" w:hAnsi="Century Gothic" w:cs="Times New Roman"/>
          <w:sz w:val="24"/>
          <w:szCs w:val="24"/>
          <w:lang w:val="es-PR"/>
        </w:rPr>
      </w:pPr>
    </w:p>
    <w:p w14:paraId="3272F8CE" w14:textId="77777777" w:rsidR="00F07556" w:rsidRPr="00BC3053" w:rsidRDefault="00F07556" w:rsidP="00F07556">
      <w:pPr>
        <w:pStyle w:val="ListParagraph"/>
        <w:spacing w:line="240" w:lineRule="auto"/>
        <w:jc w:val="both"/>
        <w:rPr>
          <w:rFonts w:ascii="Century Gothic" w:hAnsi="Century Gothic" w:cs="Times New Roman"/>
          <w:sz w:val="24"/>
          <w:szCs w:val="24"/>
          <w:lang w:val="es-PR"/>
        </w:rPr>
      </w:pPr>
    </w:p>
    <w:p w14:paraId="7AF202D2" w14:textId="77777777" w:rsidR="00F07556" w:rsidRPr="00BC3053" w:rsidRDefault="00F07556" w:rsidP="00F07556">
      <w:pPr>
        <w:pStyle w:val="ListParagraph"/>
        <w:spacing w:line="240" w:lineRule="auto"/>
        <w:jc w:val="both"/>
        <w:rPr>
          <w:rFonts w:ascii="Century Gothic" w:hAnsi="Century Gothic" w:cs="Times New Roman"/>
          <w:sz w:val="24"/>
          <w:szCs w:val="24"/>
          <w:lang w:val="es-PR"/>
        </w:rPr>
      </w:pPr>
    </w:p>
    <w:p w14:paraId="44C02717" w14:textId="77777777" w:rsidR="00F07556" w:rsidRPr="00BC3053" w:rsidRDefault="00F07556" w:rsidP="00F07556">
      <w:pPr>
        <w:pStyle w:val="ListParagraph"/>
        <w:spacing w:line="240" w:lineRule="auto"/>
        <w:jc w:val="both"/>
        <w:rPr>
          <w:rFonts w:ascii="Century Gothic" w:hAnsi="Century Gothic" w:cs="Times New Roman"/>
          <w:sz w:val="24"/>
          <w:szCs w:val="24"/>
          <w:lang w:val="es-PR"/>
        </w:rPr>
      </w:pPr>
    </w:p>
    <w:p w14:paraId="4CA0E2F2" w14:textId="77777777" w:rsidR="00F07556" w:rsidRPr="00BC3053" w:rsidRDefault="00F07556" w:rsidP="00F07556">
      <w:pPr>
        <w:pStyle w:val="ListParagraph"/>
        <w:spacing w:line="240" w:lineRule="auto"/>
        <w:jc w:val="both"/>
        <w:rPr>
          <w:rFonts w:ascii="Century Gothic" w:hAnsi="Century Gothic" w:cs="Times New Roman"/>
          <w:sz w:val="24"/>
          <w:szCs w:val="24"/>
          <w:lang w:val="es-PR"/>
        </w:rPr>
      </w:pPr>
    </w:p>
    <w:p w14:paraId="1C904B7C" w14:textId="77777777" w:rsidR="00045114" w:rsidRPr="00BC3053" w:rsidRDefault="00045114" w:rsidP="00E82384">
      <w:pPr>
        <w:spacing w:line="240" w:lineRule="auto"/>
        <w:jc w:val="both"/>
        <w:rPr>
          <w:rFonts w:ascii="Century Gothic" w:hAnsi="Century Gothic"/>
          <w:sz w:val="24"/>
          <w:szCs w:val="24"/>
          <w:lang w:val="es-PR"/>
        </w:rPr>
      </w:pPr>
    </w:p>
    <w:p w14:paraId="56357686" w14:textId="77777777" w:rsidR="00D60BD0" w:rsidRDefault="00D60BD0" w:rsidP="00266C36">
      <w:pPr>
        <w:spacing w:line="240" w:lineRule="auto"/>
        <w:ind w:firstLine="720"/>
        <w:jc w:val="both"/>
        <w:rPr>
          <w:rFonts w:ascii="Century Gothic" w:hAnsi="Century Gothic"/>
          <w:sz w:val="24"/>
          <w:szCs w:val="24"/>
          <w:lang w:val="es-PR"/>
        </w:rPr>
      </w:pPr>
    </w:p>
    <w:p w14:paraId="6F38F265" w14:textId="77777777" w:rsidR="00870075" w:rsidRPr="00BC3053" w:rsidRDefault="00045114" w:rsidP="00266C36">
      <w:pPr>
        <w:spacing w:line="240" w:lineRule="auto"/>
        <w:ind w:firstLine="720"/>
        <w:jc w:val="both"/>
        <w:rPr>
          <w:rFonts w:ascii="Century Gothic" w:hAnsi="Century Gothic"/>
          <w:sz w:val="24"/>
          <w:szCs w:val="24"/>
          <w:lang w:val="es-PR"/>
        </w:rPr>
      </w:pPr>
      <w:r w:rsidRPr="00BC3053">
        <w:rPr>
          <w:rFonts w:ascii="Century Gothic" w:hAnsi="Century Gothic"/>
          <w:sz w:val="24"/>
          <w:szCs w:val="24"/>
          <w:lang w:val="es-PR"/>
        </w:rPr>
        <w:t xml:space="preserve">La utilización de facturas desproporcionadas como la que aquí se ha transcrito, al descontarse del valor que el Municipio adjudica  a la propiedad que expropia, tiene el efecto de reducir de forma arbitraria e ilegal la justa </w:t>
      </w:r>
      <w:r w:rsidRPr="00BC3053">
        <w:rPr>
          <w:rFonts w:ascii="Century Gothic" w:hAnsi="Century Gothic"/>
          <w:sz w:val="24"/>
          <w:szCs w:val="24"/>
          <w:lang w:val="es-PR"/>
        </w:rPr>
        <w:lastRenderedPageBreak/>
        <w:t xml:space="preserve">compensación a la que tiene derecho el titular del bien expropiado, por lo que constituye una </w:t>
      </w:r>
      <w:r w:rsidRPr="00BC3053">
        <w:rPr>
          <w:rFonts w:ascii="Century Gothic" w:hAnsi="Century Gothic"/>
          <w:b/>
          <w:sz w:val="24"/>
          <w:szCs w:val="24"/>
          <w:lang w:val="es-PR"/>
        </w:rPr>
        <w:t xml:space="preserve">violación a la Sección 9 del artículo II de  la Constitución del Estado Libre Asociado de Puerto Rico, </w:t>
      </w:r>
      <w:r w:rsidR="00C938E8" w:rsidRPr="00BC3053">
        <w:rPr>
          <w:rFonts w:ascii="Century Gothic" w:hAnsi="Century Gothic"/>
          <w:b/>
          <w:sz w:val="24"/>
          <w:szCs w:val="24"/>
          <w:lang w:val="es-PR"/>
        </w:rPr>
        <w:t>la Sección 5(A) de</w:t>
      </w:r>
      <w:r w:rsidRPr="00BC3053">
        <w:rPr>
          <w:rFonts w:ascii="Century Gothic" w:hAnsi="Century Gothic"/>
          <w:b/>
          <w:sz w:val="24"/>
          <w:szCs w:val="24"/>
          <w:lang w:val="es-PR"/>
        </w:rPr>
        <w:t xml:space="preserve"> la Ley General de Expropiación Forzosa</w:t>
      </w:r>
      <w:r w:rsidR="00C938E8" w:rsidRPr="00BC3053">
        <w:rPr>
          <w:rFonts w:ascii="Century Gothic" w:hAnsi="Century Gothic"/>
          <w:b/>
          <w:sz w:val="24"/>
          <w:szCs w:val="24"/>
          <w:lang w:val="es-PR"/>
        </w:rPr>
        <w:t xml:space="preserve"> y los Artículos 2.018 y 4.012 del </w:t>
      </w:r>
      <w:r w:rsidRPr="00BC3053">
        <w:rPr>
          <w:rFonts w:ascii="Century Gothic" w:hAnsi="Century Gothic"/>
          <w:b/>
          <w:sz w:val="24"/>
          <w:szCs w:val="24"/>
          <w:lang w:val="es-PR"/>
        </w:rPr>
        <w:t>Código Municipal.</w:t>
      </w:r>
      <w:r w:rsidRPr="00BC3053">
        <w:rPr>
          <w:rFonts w:ascii="Century Gothic" w:hAnsi="Century Gothic"/>
          <w:sz w:val="24"/>
          <w:szCs w:val="24"/>
          <w:lang w:val="es-PR"/>
        </w:rPr>
        <w:t xml:space="preserve">  </w:t>
      </w:r>
    </w:p>
    <w:p w14:paraId="30BCFB99" w14:textId="6C796AD0" w:rsidR="0009430C" w:rsidRPr="00BC3053" w:rsidRDefault="00C938E8" w:rsidP="00266C36">
      <w:pPr>
        <w:spacing w:line="240" w:lineRule="auto"/>
        <w:ind w:firstLine="720"/>
        <w:jc w:val="both"/>
        <w:rPr>
          <w:rFonts w:ascii="Century Gothic" w:hAnsi="Century Gothic"/>
          <w:sz w:val="24"/>
          <w:szCs w:val="24"/>
          <w:lang w:val="es-PR"/>
        </w:rPr>
      </w:pPr>
      <w:r w:rsidRPr="00BC3053">
        <w:rPr>
          <w:rFonts w:ascii="Century Gothic" w:hAnsi="Century Gothic"/>
          <w:sz w:val="24"/>
          <w:szCs w:val="24"/>
          <w:lang w:val="es-PR"/>
        </w:rPr>
        <w:t>Cada centavo ind</w:t>
      </w:r>
      <w:r w:rsidR="00870075" w:rsidRPr="00BC3053">
        <w:rPr>
          <w:rFonts w:ascii="Century Gothic" w:hAnsi="Century Gothic"/>
          <w:sz w:val="24"/>
          <w:szCs w:val="24"/>
          <w:lang w:val="es-PR"/>
        </w:rPr>
        <w:t>ebidamente cobrado por las privatizadoras</w:t>
      </w:r>
      <w:r w:rsidRPr="00BC3053">
        <w:rPr>
          <w:rFonts w:ascii="Century Gothic" w:hAnsi="Century Gothic"/>
          <w:sz w:val="24"/>
          <w:szCs w:val="24"/>
          <w:lang w:val="es-PR"/>
        </w:rPr>
        <w:t xml:space="preserve"> es dinero del que se priva ilegalmente a una ciudadana</w:t>
      </w:r>
      <w:r w:rsidR="00870075" w:rsidRPr="00BC3053">
        <w:rPr>
          <w:rFonts w:ascii="Century Gothic" w:hAnsi="Century Gothic"/>
          <w:sz w:val="24"/>
          <w:szCs w:val="24"/>
          <w:lang w:val="es-PR"/>
        </w:rPr>
        <w:t xml:space="preserve"> o ciudadano. En el </w:t>
      </w:r>
      <w:r w:rsidR="00870075" w:rsidRPr="00BC3053">
        <w:rPr>
          <w:rFonts w:ascii="Century Gothic" w:hAnsi="Century Gothic"/>
          <w:i/>
          <w:iCs/>
          <w:sz w:val="24"/>
          <w:szCs w:val="24"/>
          <w:lang w:val="es-PR"/>
        </w:rPr>
        <w:t xml:space="preserve">Anejo </w:t>
      </w:r>
      <w:r w:rsidR="00AF5586" w:rsidRPr="00BC3053">
        <w:rPr>
          <w:rFonts w:ascii="Century Gothic" w:hAnsi="Century Gothic"/>
          <w:i/>
          <w:iCs/>
          <w:sz w:val="24"/>
          <w:szCs w:val="24"/>
          <w:lang w:val="es-PR"/>
        </w:rPr>
        <w:t>14</w:t>
      </w:r>
      <w:r w:rsidR="00870075" w:rsidRPr="00BC3053">
        <w:rPr>
          <w:rFonts w:ascii="Century Gothic" w:hAnsi="Century Gothic"/>
          <w:sz w:val="24"/>
          <w:szCs w:val="24"/>
          <w:lang w:val="es-PR"/>
        </w:rPr>
        <w:t>,</w:t>
      </w:r>
      <w:r w:rsidR="00AF5586" w:rsidRPr="00BC3053">
        <w:rPr>
          <w:rFonts w:ascii="Century Gothic" w:hAnsi="Century Gothic"/>
          <w:sz w:val="24"/>
          <w:szCs w:val="24"/>
          <w:lang w:val="es-PR"/>
        </w:rPr>
        <w:t xml:space="preserve"> </w:t>
      </w:r>
      <w:r w:rsidR="00870075" w:rsidRPr="00BC3053">
        <w:rPr>
          <w:rFonts w:ascii="Century Gothic" w:hAnsi="Century Gothic"/>
          <w:sz w:val="24"/>
          <w:szCs w:val="24"/>
          <w:lang w:val="es-PR"/>
        </w:rPr>
        <w:t xml:space="preserve">(Lista provista por el CRIM sobre casos de expropiación a cargo de compañías privadas, con costos reclamados por concepto de </w:t>
      </w:r>
      <w:proofErr w:type="spellStart"/>
      <w:r w:rsidR="00870075" w:rsidRPr="00BC3053">
        <w:rPr>
          <w:rFonts w:ascii="Century Gothic" w:hAnsi="Century Gothic"/>
          <w:sz w:val="24"/>
          <w:szCs w:val="24"/>
          <w:lang w:val="es-PR"/>
        </w:rPr>
        <w:t>mantenimento</w:t>
      </w:r>
      <w:proofErr w:type="spellEnd"/>
      <w:r w:rsidR="00870075" w:rsidRPr="00BC3053">
        <w:rPr>
          <w:rFonts w:ascii="Century Gothic" w:hAnsi="Century Gothic"/>
          <w:sz w:val="24"/>
          <w:szCs w:val="24"/>
          <w:lang w:val="es-PR"/>
        </w:rPr>
        <w:t xml:space="preserve">) se puede apreciar que </w:t>
      </w:r>
      <w:r w:rsidR="00870075" w:rsidRPr="00BC3053">
        <w:rPr>
          <w:rFonts w:ascii="Century Gothic" w:hAnsi="Century Gothic"/>
          <w:b/>
          <w:sz w:val="24"/>
          <w:szCs w:val="24"/>
          <w:lang w:val="es-PR"/>
        </w:rPr>
        <w:t>en decenas de propiedades el “costo de mantenimiento” es idéntico: $20,567 para Universal y $20,000 para Francis</w:t>
      </w:r>
      <w:r w:rsidR="009D38A8" w:rsidRPr="00BC3053">
        <w:rPr>
          <w:rFonts w:ascii="Century Gothic" w:hAnsi="Century Gothic"/>
          <w:b/>
          <w:sz w:val="24"/>
          <w:szCs w:val="24"/>
          <w:lang w:val="es-PR"/>
        </w:rPr>
        <w:t xml:space="preserve"> </w:t>
      </w:r>
      <w:r w:rsidR="00870075" w:rsidRPr="00BC3053">
        <w:rPr>
          <w:rFonts w:ascii="Century Gothic" w:hAnsi="Century Gothic"/>
          <w:b/>
          <w:sz w:val="24"/>
          <w:szCs w:val="24"/>
          <w:lang w:val="es-PR"/>
        </w:rPr>
        <w:t xml:space="preserve">&amp; </w:t>
      </w:r>
      <w:proofErr w:type="spellStart"/>
      <w:r w:rsidR="00870075" w:rsidRPr="00BC3053">
        <w:rPr>
          <w:rFonts w:ascii="Century Gothic" w:hAnsi="Century Gothic"/>
          <w:b/>
          <w:sz w:val="24"/>
          <w:szCs w:val="24"/>
          <w:lang w:val="es-PR"/>
        </w:rPr>
        <w:t>Gueits</w:t>
      </w:r>
      <w:proofErr w:type="spellEnd"/>
      <w:r w:rsidR="00870075" w:rsidRPr="00BC3053">
        <w:rPr>
          <w:rFonts w:ascii="Century Gothic" w:hAnsi="Century Gothic"/>
          <w:b/>
          <w:sz w:val="24"/>
          <w:szCs w:val="24"/>
          <w:lang w:val="es-PR"/>
        </w:rPr>
        <w:t>, y en muchas instancias esa cantidad supera lo estipulado como “Tasación por Valor en el Mercado</w:t>
      </w:r>
      <w:r w:rsidR="00870075" w:rsidRPr="00BC3053">
        <w:rPr>
          <w:rFonts w:ascii="Century Gothic" w:hAnsi="Century Gothic"/>
          <w:sz w:val="24"/>
          <w:szCs w:val="24"/>
          <w:lang w:val="es-PR"/>
        </w:rPr>
        <w:t xml:space="preserve">”. Más aún: son varios los procesos de expropiación en los que el Tribunal ha dado por buena la factura sometida, y el resultado es que el Municipio  no tiene que pagar ni un centavo por la expropiación. </w:t>
      </w:r>
    </w:p>
    <w:p w14:paraId="563758A7" w14:textId="0C7B4931" w:rsidR="0009430C" w:rsidRPr="002D79EB" w:rsidRDefault="0009430C" w:rsidP="009D38A8">
      <w:pPr>
        <w:spacing w:line="240" w:lineRule="auto"/>
        <w:ind w:firstLine="720"/>
        <w:jc w:val="both"/>
        <w:rPr>
          <w:rFonts w:ascii="Century Gothic" w:hAnsi="Century Gothic"/>
          <w:sz w:val="24"/>
          <w:szCs w:val="24"/>
          <w:lang w:val="es-PR"/>
        </w:rPr>
      </w:pPr>
      <w:r w:rsidRPr="00BC3053">
        <w:rPr>
          <w:rFonts w:ascii="Century Gothic" w:hAnsi="Century Gothic"/>
          <w:sz w:val="24"/>
          <w:szCs w:val="24"/>
          <w:lang w:val="es-PR"/>
        </w:rPr>
        <w:t xml:space="preserve">Examinamos además </w:t>
      </w:r>
      <w:r w:rsidRPr="00BC3053">
        <w:rPr>
          <w:rFonts w:ascii="Century Gothic" w:hAnsi="Century Gothic"/>
          <w:b/>
          <w:sz w:val="24"/>
          <w:szCs w:val="24"/>
          <w:lang w:val="es-PR"/>
        </w:rPr>
        <w:t xml:space="preserve">40 </w:t>
      </w:r>
      <w:r w:rsidRPr="00BC3053">
        <w:rPr>
          <w:rFonts w:ascii="Century Gothic" w:hAnsi="Century Gothic"/>
          <w:b/>
          <w:i/>
          <w:sz w:val="24"/>
          <w:szCs w:val="24"/>
          <w:lang w:val="es-PR"/>
        </w:rPr>
        <w:t>Instancias Solicitando Inscripción de Gravamen Equivalente a Hipoteca Legal Tácita a Favor del Municipio de Guánica</w:t>
      </w:r>
      <w:r w:rsidRPr="00BC3053">
        <w:rPr>
          <w:rFonts w:ascii="Century Gothic" w:hAnsi="Century Gothic"/>
          <w:b/>
          <w:sz w:val="24"/>
          <w:szCs w:val="24"/>
          <w:lang w:val="es-PR"/>
        </w:rPr>
        <w:t xml:space="preserve"> tramitadas por Universal </w:t>
      </w:r>
      <w:proofErr w:type="spellStart"/>
      <w:r w:rsidRPr="00BC3053">
        <w:rPr>
          <w:rFonts w:ascii="Century Gothic" w:hAnsi="Century Gothic"/>
          <w:b/>
          <w:sz w:val="24"/>
          <w:szCs w:val="24"/>
          <w:lang w:val="es-PR"/>
        </w:rPr>
        <w:t>Properties</w:t>
      </w:r>
      <w:proofErr w:type="spellEnd"/>
      <w:r w:rsidRPr="00BC3053">
        <w:rPr>
          <w:rFonts w:ascii="Century Gothic" w:hAnsi="Century Gothic"/>
          <w:b/>
          <w:sz w:val="24"/>
          <w:szCs w:val="24"/>
          <w:lang w:val="es-PR"/>
        </w:rPr>
        <w:t xml:space="preserve"> </w:t>
      </w:r>
      <w:proofErr w:type="spellStart"/>
      <w:r w:rsidRPr="00BC3053">
        <w:rPr>
          <w:rFonts w:ascii="Century Gothic" w:hAnsi="Century Gothic"/>
          <w:b/>
          <w:sz w:val="24"/>
          <w:szCs w:val="24"/>
          <w:lang w:val="es-PR"/>
        </w:rPr>
        <w:t>Realty</w:t>
      </w:r>
      <w:proofErr w:type="spellEnd"/>
      <w:r w:rsidRPr="00BC3053">
        <w:rPr>
          <w:rFonts w:ascii="Century Gothic" w:hAnsi="Century Gothic"/>
          <w:b/>
          <w:sz w:val="24"/>
          <w:szCs w:val="24"/>
          <w:lang w:val="es-PR"/>
        </w:rPr>
        <w:t xml:space="preserve"> </w:t>
      </w:r>
      <w:proofErr w:type="spellStart"/>
      <w:r w:rsidRPr="00BC3053">
        <w:rPr>
          <w:rFonts w:ascii="Century Gothic" w:hAnsi="Century Gothic"/>
          <w:b/>
          <w:sz w:val="24"/>
          <w:szCs w:val="24"/>
          <w:lang w:val="es-PR"/>
        </w:rPr>
        <w:t>Government</w:t>
      </w:r>
      <w:proofErr w:type="spellEnd"/>
      <w:r w:rsidRPr="00BC3053">
        <w:rPr>
          <w:rFonts w:ascii="Century Gothic" w:hAnsi="Century Gothic"/>
          <w:b/>
          <w:sz w:val="24"/>
          <w:szCs w:val="24"/>
          <w:lang w:val="es-PR"/>
        </w:rPr>
        <w:t xml:space="preserve"> </w:t>
      </w:r>
      <w:proofErr w:type="spellStart"/>
      <w:r w:rsidRPr="00BC3053">
        <w:rPr>
          <w:rFonts w:ascii="Century Gothic" w:hAnsi="Century Gothic"/>
          <w:b/>
          <w:sz w:val="24"/>
          <w:szCs w:val="24"/>
          <w:lang w:val="es-PR"/>
        </w:rPr>
        <w:t>Services</w:t>
      </w:r>
      <w:proofErr w:type="spellEnd"/>
      <w:r w:rsidRPr="00BC3053">
        <w:rPr>
          <w:rFonts w:ascii="Century Gothic" w:hAnsi="Century Gothic"/>
          <w:b/>
          <w:sz w:val="24"/>
          <w:szCs w:val="24"/>
          <w:lang w:val="es-PR"/>
        </w:rPr>
        <w:t xml:space="preserve"> -20 presentadas el 10 de febrero de 2023 y 20 el 10 de marzo de 2023, y las 40 </w:t>
      </w:r>
      <w:r w:rsidR="002F6F09" w:rsidRPr="00BC3053">
        <w:rPr>
          <w:rFonts w:ascii="Century Gothic" w:hAnsi="Century Gothic"/>
          <w:b/>
          <w:sz w:val="24"/>
          <w:szCs w:val="24"/>
          <w:lang w:val="es-PR"/>
        </w:rPr>
        <w:t>son por la misma cantidad: $25,990</w:t>
      </w:r>
      <w:r w:rsidR="002F6F09" w:rsidRPr="00BC3053">
        <w:rPr>
          <w:rFonts w:ascii="Century Gothic" w:hAnsi="Century Gothic"/>
          <w:sz w:val="24"/>
          <w:szCs w:val="24"/>
          <w:lang w:val="es-PR"/>
        </w:rPr>
        <w:t xml:space="preserve">. </w:t>
      </w:r>
      <w:r w:rsidR="00E85DFA" w:rsidRPr="00BC3053">
        <w:rPr>
          <w:rFonts w:ascii="Century Gothic" w:hAnsi="Century Gothic"/>
          <w:sz w:val="24"/>
          <w:szCs w:val="24"/>
          <w:lang w:val="es-PR"/>
        </w:rPr>
        <w:t>Ese es la suma millonaria que recobrarán como reembolso cuando se vendan las propiedades: $1</w:t>
      </w:r>
      <w:proofErr w:type="gramStart"/>
      <w:r w:rsidR="00E85DFA" w:rsidRPr="00BC3053">
        <w:rPr>
          <w:rFonts w:ascii="Century Gothic" w:hAnsi="Century Gothic"/>
          <w:sz w:val="24"/>
          <w:szCs w:val="24"/>
          <w:lang w:val="es-PR"/>
        </w:rPr>
        <w:t>,039,600</w:t>
      </w:r>
      <w:proofErr w:type="gramEnd"/>
      <w:r w:rsidR="00E85DFA" w:rsidRPr="00BC3053">
        <w:rPr>
          <w:rFonts w:ascii="Century Gothic" w:hAnsi="Century Gothic"/>
          <w:sz w:val="24"/>
          <w:szCs w:val="24"/>
          <w:lang w:val="es-PR"/>
        </w:rPr>
        <w:t xml:space="preserve">, sólo en </w:t>
      </w:r>
      <w:proofErr w:type="spellStart"/>
      <w:r w:rsidR="00E85DFA" w:rsidRPr="00BC3053">
        <w:rPr>
          <w:rFonts w:ascii="Century Gothic" w:hAnsi="Century Gothic"/>
          <w:sz w:val="24"/>
          <w:szCs w:val="24"/>
          <w:lang w:val="es-PR"/>
        </w:rPr>
        <w:t>Guánica</w:t>
      </w:r>
      <w:proofErr w:type="spellEnd"/>
      <w:r w:rsidR="00E85DFA" w:rsidRPr="00BC3053">
        <w:rPr>
          <w:rFonts w:ascii="Century Gothic" w:hAnsi="Century Gothic"/>
          <w:sz w:val="24"/>
          <w:szCs w:val="24"/>
          <w:lang w:val="es-PR"/>
        </w:rPr>
        <w:t xml:space="preserve">, y </w:t>
      </w:r>
      <w:r w:rsidR="00266C36" w:rsidRPr="00BC3053">
        <w:rPr>
          <w:rFonts w:ascii="Century Gothic" w:hAnsi="Century Gothic"/>
          <w:sz w:val="24"/>
          <w:szCs w:val="24"/>
          <w:lang w:val="es-PR"/>
        </w:rPr>
        <w:t xml:space="preserve"> esa es la cantidad </w:t>
      </w:r>
      <w:r w:rsidR="00E85DFA" w:rsidRPr="00BC3053">
        <w:rPr>
          <w:rFonts w:ascii="Century Gothic" w:hAnsi="Century Gothic"/>
          <w:sz w:val="24"/>
          <w:szCs w:val="24"/>
          <w:lang w:val="es-PR"/>
        </w:rPr>
        <w:t xml:space="preserve">que dejarán de recibir los dueños de las propiedades cuando se expropien. </w:t>
      </w:r>
      <w:r w:rsidR="002F6F09" w:rsidRPr="00BC3053">
        <w:rPr>
          <w:rFonts w:ascii="Century Gothic" w:hAnsi="Century Gothic"/>
          <w:sz w:val="24"/>
          <w:szCs w:val="24"/>
          <w:lang w:val="es-PR"/>
        </w:rPr>
        <w:t xml:space="preserve">Ver </w:t>
      </w:r>
      <w:r w:rsidR="002F6F09" w:rsidRPr="00BC3053">
        <w:rPr>
          <w:rFonts w:ascii="Century Gothic" w:hAnsi="Century Gothic"/>
          <w:i/>
          <w:iCs/>
          <w:sz w:val="24"/>
          <w:szCs w:val="24"/>
          <w:lang w:val="es-PR"/>
        </w:rPr>
        <w:t xml:space="preserve">Anejo </w:t>
      </w:r>
      <w:r w:rsidR="00AF5586" w:rsidRPr="00BC3053">
        <w:rPr>
          <w:rFonts w:ascii="Century Gothic" w:hAnsi="Century Gothic"/>
          <w:i/>
          <w:iCs/>
          <w:sz w:val="24"/>
          <w:szCs w:val="24"/>
          <w:lang w:val="es-PR"/>
        </w:rPr>
        <w:t>15</w:t>
      </w:r>
      <w:r w:rsidR="008C64D4" w:rsidRPr="00BC3053">
        <w:rPr>
          <w:rFonts w:ascii="Century Gothic" w:hAnsi="Century Gothic"/>
          <w:i/>
          <w:iCs/>
          <w:sz w:val="24"/>
          <w:szCs w:val="24"/>
          <w:lang w:val="es-PR"/>
        </w:rPr>
        <w:t xml:space="preserve"> al 54</w:t>
      </w:r>
      <w:r w:rsidR="00266C36" w:rsidRPr="00BC3053">
        <w:rPr>
          <w:rFonts w:ascii="Century Gothic" w:hAnsi="Century Gothic"/>
          <w:i/>
          <w:iCs/>
          <w:sz w:val="24"/>
          <w:szCs w:val="24"/>
          <w:lang w:val="es-PR"/>
        </w:rPr>
        <w:t>, Instancias Solicitando Inscripción de Gravamen.</w:t>
      </w:r>
    </w:p>
    <w:p w14:paraId="050B8385" w14:textId="0B773AFE" w:rsidR="00045114" w:rsidRPr="00BC3053" w:rsidRDefault="002F6F09" w:rsidP="009D38A8">
      <w:pPr>
        <w:spacing w:line="240" w:lineRule="auto"/>
        <w:ind w:firstLine="720"/>
        <w:jc w:val="both"/>
        <w:rPr>
          <w:rFonts w:ascii="Century Gothic" w:hAnsi="Century Gothic"/>
          <w:sz w:val="24"/>
          <w:szCs w:val="24"/>
          <w:lang w:val="es-PR"/>
        </w:rPr>
      </w:pPr>
      <w:r w:rsidRPr="00BC3053">
        <w:rPr>
          <w:rFonts w:ascii="Century Gothic" w:hAnsi="Century Gothic"/>
          <w:sz w:val="24"/>
          <w:szCs w:val="24"/>
          <w:lang w:val="es-PR"/>
        </w:rPr>
        <w:t xml:space="preserve">Se trata de un alarmante patrón de violaciones </w:t>
      </w:r>
      <w:r w:rsidR="008C64D4" w:rsidRPr="00BC3053">
        <w:rPr>
          <w:rFonts w:ascii="Century Gothic" w:hAnsi="Century Gothic"/>
          <w:sz w:val="24"/>
          <w:szCs w:val="24"/>
          <w:lang w:val="es-PR"/>
        </w:rPr>
        <w:t>constitucionales con</w:t>
      </w:r>
      <w:r w:rsidRPr="00BC3053">
        <w:rPr>
          <w:rFonts w:ascii="Century Gothic" w:hAnsi="Century Gothic"/>
          <w:sz w:val="24"/>
          <w:szCs w:val="24"/>
          <w:lang w:val="es-PR"/>
        </w:rPr>
        <w:t xml:space="preserve"> el aval de</w:t>
      </w:r>
      <w:r w:rsidR="009D38A8" w:rsidRPr="00BC3053">
        <w:rPr>
          <w:rFonts w:ascii="Century Gothic" w:hAnsi="Century Gothic"/>
          <w:sz w:val="24"/>
          <w:szCs w:val="24"/>
          <w:lang w:val="es-PR"/>
        </w:rPr>
        <w:t xml:space="preserve"> Municipio</w:t>
      </w:r>
      <w:r w:rsidRPr="00BC3053">
        <w:rPr>
          <w:rFonts w:ascii="Century Gothic" w:hAnsi="Century Gothic"/>
          <w:sz w:val="24"/>
          <w:szCs w:val="24"/>
          <w:lang w:val="es-PR"/>
        </w:rPr>
        <w:t>s</w:t>
      </w:r>
      <w:r w:rsidR="009D38A8" w:rsidRPr="00BC3053">
        <w:rPr>
          <w:rFonts w:ascii="Century Gothic" w:hAnsi="Century Gothic"/>
          <w:sz w:val="24"/>
          <w:szCs w:val="24"/>
          <w:lang w:val="es-PR"/>
        </w:rPr>
        <w:t xml:space="preserve"> y </w:t>
      </w:r>
      <w:r w:rsidR="002D79EB">
        <w:rPr>
          <w:rFonts w:ascii="Century Gothic" w:hAnsi="Century Gothic"/>
          <w:sz w:val="24"/>
          <w:szCs w:val="24"/>
          <w:lang w:val="es-PR"/>
        </w:rPr>
        <w:t xml:space="preserve">de </w:t>
      </w:r>
      <w:r w:rsidR="009D38A8" w:rsidRPr="00BC3053">
        <w:rPr>
          <w:rFonts w:ascii="Century Gothic" w:hAnsi="Century Gothic"/>
          <w:sz w:val="24"/>
          <w:szCs w:val="24"/>
          <w:lang w:val="es-PR"/>
        </w:rPr>
        <w:t xml:space="preserve">varias salas del Tribunal de Primera Instancia. </w:t>
      </w:r>
      <w:r w:rsidR="00F61A8E" w:rsidRPr="00BC3053">
        <w:rPr>
          <w:rFonts w:ascii="Century Gothic" w:hAnsi="Century Gothic"/>
          <w:sz w:val="24"/>
          <w:szCs w:val="24"/>
          <w:lang w:val="es-PR"/>
        </w:rPr>
        <w:t>Las actuaciones de Universal y de Francis &amp;</w:t>
      </w:r>
      <w:r w:rsidR="00E85DFA" w:rsidRPr="00BC3053">
        <w:rPr>
          <w:rFonts w:ascii="Century Gothic" w:hAnsi="Century Gothic"/>
          <w:sz w:val="24"/>
          <w:szCs w:val="24"/>
          <w:lang w:val="es-PR"/>
        </w:rPr>
        <w:t xml:space="preserve"> </w:t>
      </w:r>
      <w:proofErr w:type="spellStart"/>
      <w:r w:rsidR="00F61A8E" w:rsidRPr="00BC3053">
        <w:rPr>
          <w:rFonts w:ascii="Century Gothic" w:hAnsi="Century Gothic"/>
          <w:sz w:val="24"/>
          <w:szCs w:val="24"/>
          <w:lang w:val="es-PR"/>
        </w:rPr>
        <w:t>Gueits</w:t>
      </w:r>
      <w:proofErr w:type="spellEnd"/>
      <w:r w:rsidR="00F61A8E" w:rsidRPr="00BC3053">
        <w:rPr>
          <w:rFonts w:ascii="Century Gothic" w:hAnsi="Century Gothic"/>
          <w:sz w:val="24"/>
          <w:szCs w:val="24"/>
          <w:lang w:val="es-PR"/>
        </w:rPr>
        <w:t xml:space="preserve"> al presentar facturas que no se ajustan a la realidad de los trabajos realizados constituye una </w:t>
      </w:r>
      <w:r w:rsidR="00F61A8E" w:rsidRPr="00BC3053">
        <w:rPr>
          <w:rFonts w:ascii="Century Gothic" w:hAnsi="Century Gothic"/>
          <w:b/>
          <w:sz w:val="24"/>
          <w:szCs w:val="24"/>
          <w:lang w:val="es-PR"/>
        </w:rPr>
        <w:t>violación al Artículo 3.2 de la Ley 2-2018, conocida como  Código Anticorrupción para el Nuevo Puerto Rico</w:t>
      </w:r>
      <w:r w:rsidR="00F61A8E" w:rsidRPr="00BC3053">
        <w:rPr>
          <w:rFonts w:ascii="Century Gothic" w:hAnsi="Century Gothic"/>
          <w:sz w:val="24"/>
          <w:szCs w:val="24"/>
          <w:lang w:val="es-PR"/>
        </w:rPr>
        <w:t>, que dispone que toda persona que interese hacer negocios con el Gobierno cotizará a base de precios justos por sus servicios, y deben certificar, bajo pena de nulidad que el importe de lo que se factura “es justo y correcto, los trabajos han sido realizados, los productos han sido entregados y los servicios han sido prestados y no se ha recibido pago por ellos.</w:t>
      </w:r>
      <w:r w:rsidR="009225B2" w:rsidRPr="00BC3053">
        <w:rPr>
          <w:rFonts w:ascii="Century Gothic" w:hAnsi="Century Gothic"/>
          <w:sz w:val="24"/>
          <w:szCs w:val="24"/>
          <w:lang w:val="es-PR"/>
        </w:rPr>
        <w:t>”</w:t>
      </w:r>
    </w:p>
    <w:p w14:paraId="175AE8BC" w14:textId="5158F892" w:rsidR="00A74F85" w:rsidRPr="00BC3053" w:rsidRDefault="00A74F85" w:rsidP="009D38A8">
      <w:pPr>
        <w:spacing w:line="240" w:lineRule="auto"/>
        <w:ind w:firstLine="720"/>
        <w:jc w:val="both"/>
        <w:rPr>
          <w:rFonts w:ascii="Century Gothic" w:hAnsi="Century Gothic"/>
          <w:sz w:val="24"/>
          <w:szCs w:val="24"/>
          <w:lang w:val="es-PR"/>
        </w:rPr>
      </w:pPr>
      <w:r w:rsidRPr="00BC3053">
        <w:rPr>
          <w:rFonts w:ascii="Century Gothic" w:hAnsi="Century Gothic"/>
          <w:sz w:val="24"/>
          <w:szCs w:val="24"/>
          <w:lang w:val="es-PR"/>
        </w:rPr>
        <w:t xml:space="preserve">Universal </w:t>
      </w:r>
      <w:proofErr w:type="spellStart"/>
      <w:r w:rsidRPr="00BC3053">
        <w:rPr>
          <w:rFonts w:ascii="Century Gothic" w:hAnsi="Century Gothic"/>
          <w:sz w:val="24"/>
          <w:szCs w:val="24"/>
          <w:lang w:val="es-PR"/>
        </w:rPr>
        <w:t>Properties</w:t>
      </w:r>
      <w:proofErr w:type="spellEnd"/>
      <w:r w:rsidRPr="00BC3053">
        <w:rPr>
          <w:rFonts w:ascii="Century Gothic" w:hAnsi="Century Gothic"/>
          <w:sz w:val="24"/>
          <w:szCs w:val="24"/>
          <w:lang w:val="es-PR"/>
        </w:rPr>
        <w:t xml:space="preserve"> y su representación legal han incurrido además en la retención ilegal de expedientes de casos de declaraciones de estorbos públicos y expropiaciones. </w:t>
      </w:r>
      <w:r w:rsidR="00014871" w:rsidRPr="00BC3053">
        <w:rPr>
          <w:rFonts w:ascii="Century Gothic" w:hAnsi="Century Gothic"/>
          <w:sz w:val="24"/>
          <w:szCs w:val="24"/>
          <w:lang w:val="es-PR"/>
        </w:rPr>
        <w:t xml:space="preserve"> El 14 de septiembre de 20</w:t>
      </w:r>
      <w:r w:rsidR="009225B2" w:rsidRPr="00BC3053">
        <w:rPr>
          <w:rFonts w:ascii="Century Gothic" w:hAnsi="Century Gothic"/>
          <w:sz w:val="24"/>
          <w:szCs w:val="24"/>
          <w:lang w:val="es-PR"/>
        </w:rPr>
        <w:t>1</w:t>
      </w:r>
      <w:r w:rsidR="00014871" w:rsidRPr="00BC3053">
        <w:rPr>
          <w:rFonts w:ascii="Century Gothic" w:hAnsi="Century Gothic"/>
          <w:sz w:val="24"/>
          <w:szCs w:val="24"/>
          <w:lang w:val="es-PR"/>
        </w:rPr>
        <w:t xml:space="preserve">8, el </w:t>
      </w:r>
      <w:r w:rsidR="00014871" w:rsidRPr="00BC3053">
        <w:rPr>
          <w:rFonts w:ascii="Century Gothic" w:hAnsi="Century Gothic"/>
          <w:b/>
          <w:sz w:val="24"/>
          <w:szCs w:val="24"/>
          <w:lang w:val="es-PR"/>
        </w:rPr>
        <w:t>Municipio de Humacao</w:t>
      </w:r>
      <w:r w:rsidR="00014871" w:rsidRPr="00BC3053">
        <w:rPr>
          <w:rFonts w:ascii="Century Gothic" w:hAnsi="Century Gothic"/>
          <w:sz w:val="24"/>
          <w:szCs w:val="24"/>
          <w:lang w:val="es-PR"/>
        </w:rPr>
        <w:t xml:space="preserve"> susc</w:t>
      </w:r>
      <w:r w:rsidR="0096062D" w:rsidRPr="00BC3053">
        <w:rPr>
          <w:rFonts w:ascii="Century Gothic" w:hAnsi="Century Gothic"/>
          <w:sz w:val="24"/>
          <w:szCs w:val="24"/>
          <w:lang w:val="es-PR"/>
        </w:rPr>
        <w:t xml:space="preserve">ribió un contrato con Universal, al amparo del cual la empresa preparó expedientes para 93 propiedades que pudieran ser declarados estorbos públicos. El Municipio, representado por la codemandada María Mercado Padilla, quien trabajaba para Universal, solicitó al tribunal la expropiación de nueve de esas propiedades. Cuando una nueva administración asumió la </w:t>
      </w:r>
      <w:r w:rsidR="0096062D" w:rsidRPr="00BC3053">
        <w:rPr>
          <w:rFonts w:ascii="Century Gothic" w:hAnsi="Century Gothic"/>
          <w:sz w:val="24"/>
          <w:szCs w:val="24"/>
          <w:lang w:val="es-PR"/>
        </w:rPr>
        <w:lastRenderedPageBreak/>
        <w:t xml:space="preserve">dirección del Municipio en enero de 2021, “se detectaron discrepancias en el análisis y alegaciones que eran contradictorias en la interpretación de los hechos y el derecho por parte del Municipio”. </w:t>
      </w:r>
      <w:r w:rsidR="0096062D" w:rsidRPr="00BC3053">
        <w:rPr>
          <w:rFonts w:ascii="Century Gothic" w:hAnsi="Century Gothic"/>
          <w:b/>
          <w:sz w:val="24"/>
          <w:szCs w:val="24"/>
          <w:lang w:val="es-PR"/>
        </w:rPr>
        <w:t>En varios casos, ciudadanos afectados alegaron que Universal no había seguido el debido proceso de ley para la declaración d</w:t>
      </w:r>
      <w:r w:rsidR="00172F62" w:rsidRPr="00BC3053">
        <w:rPr>
          <w:rFonts w:ascii="Century Gothic" w:hAnsi="Century Gothic"/>
          <w:b/>
          <w:sz w:val="24"/>
          <w:szCs w:val="24"/>
          <w:lang w:val="es-PR"/>
        </w:rPr>
        <w:t>e estorbos públicos</w:t>
      </w:r>
      <w:r w:rsidR="00172F62" w:rsidRPr="00BC3053">
        <w:rPr>
          <w:rFonts w:ascii="Century Gothic" w:hAnsi="Century Gothic"/>
          <w:sz w:val="24"/>
          <w:szCs w:val="24"/>
          <w:lang w:val="es-PR"/>
        </w:rPr>
        <w:t xml:space="preserve">. Ver </w:t>
      </w:r>
      <w:r w:rsidR="00172F62" w:rsidRPr="00BC3053">
        <w:rPr>
          <w:rFonts w:ascii="Century Gothic" w:hAnsi="Century Gothic"/>
          <w:i/>
          <w:iCs/>
          <w:sz w:val="24"/>
          <w:szCs w:val="24"/>
          <w:lang w:val="es-PR"/>
        </w:rPr>
        <w:t xml:space="preserve">Anejo </w:t>
      </w:r>
      <w:r w:rsidR="002E0F6D" w:rsidRPr="00BC3053">
        <w:rPr>
          <w:rFonts w:ascii="Century Gothic" w:hAnsi="Century Gothic"/>
          <w:i/>
          <w:iCs/>
          <w:sz w:val="24"/>
          <w:szCs w:val="24"/>
          <w:lang w:val="es-PR"/>
        </w:rPr>
        <w:t>55</w:t>
      </w:r>
      <w:r w:rsidR="0096062D" w:rsidRPr="00BC3053">
        <w:rPr>
          <w:rFonts w:ascii="Century Gothic" w:hAnsi="Century Gothic"/>
          <w:sz w:val="24"/>
          <w:szCs w:val="24"/>
          <w:lang w:val="es-PR"/>
        </w:rPr>
        <w:t xml:space="preserve">, </w:t>
      </w:r>
      <w:r w:rsidR="0096062D" w:rsidRPr="00BC3053">
        <w:rPr>
          <w:rFonts w:ascii="Century Gothic" w:hAnsi="Century Gothic"/>
          <w:i/>
          <w:sz w:val="24"/>
          <w:szCs w:val="24"/>
          <w:lang w:val="es-PR"/>
        </w:rPr>
        <w:t>Petición de Entredicho Municipio Autónomo de Humacao v. Universa</w:t>
      </w:r>
      <w:r w:rsidR="0096062D" w:rsidRPr="00BC3053">
        <w:rPr>
          <w:rFonts w:ascii="Century Gothic" w:hAnsi="Century Gothic"/>
          <w:sz w:val="24"/>
          <w:szCs w:val="24"/>
          <w:lang w:val="es-PR"/>
        </w:rPr>
        <w:t xml:space="preserve">l </w:t>
      </w:r>
      <w:proofErr w:type="spellStart"/>
      <w:r w:rsidR="0096062D" w:rsidRPr="00BC3053">
        <w:rPr>
          <w:rFonts w:ascii="Century Gothic" w:hAnsi="Century Gothic"/>
          <w:i/>
          <w:sz w:val="24"/>
          <w:szCs w:val="24"/>
          <w:lang w:val="es-PR"/>
        </w:rPr>
        <w:t>Properties</w:t>
      </w:r>
      <w:proofErr w:type="spellEnd"/>
      <w:r w:rsidR="0096062D" w:rsidRPr="00BC3053">
        <w:rPr>
          <w:rFonts w:ascii="Century Gothic" w:hAnsi="Century Gothic"/>
          <w:sz w:val="24"/>
          <w:szCs w:val="24"/>
          <w:lang w:val="es-PR"/>
        </w:rPr>
        <w:t xml:space="preserve">. El 19 de mayo de 2021, el Municipio notificó a Universal que de forma inmediata terminarían toda relación contractual con la compañía, e invocando el Canon 20 de Ética Profesional de la práctica de la abogacía, se solicitó la devolución de los expedientes.  La abogada se limitó a referir al Municipio al expediente electrónico de tribunales conocido como SUMAC. </w:t>
      </w:r>
      <w:r w:rsidR="00941BA5" w:rsidRPr="00BC3053">
        <w:rPr>
          <w:rFonts w:ascii="Century Gothic" w:hAnsi="Century Gothic"/>
          <w:sz w:val="24"/>
          <w:szCs w:val="24"/>
          <w:lang w:val="es-PR"/>
        </w:rPr>
        <w:t>El Municipio tuvo que acudir al Tribunal para que Universal  y su abogada entregaran los expedientes. En Sentencia del 18 de febrero de 2022, el Tribunal determinó probado dos elementos fundamentales: 1) que “</w:t>
      </w:r>
      <w:r w:rsidR="00941BA5" w:rsidRPr="00BC3053">
        <w:rPr>
          <w:rFonts w:ascii="Century Gothic" w:hAnsi="Century Gothic"/>
          <w:b/>
          <w:sz w:val="24"/>
          <w:szCs w:val="24"/>
          <w:lang w:val="es-PR"/>
        </w:rPr>
        <w:t>de la prueba surge que Universal incurrió en deficiencias sobre el servicio ofrecido que pusieron en riesgo el que ciudadanos privados perdieran sus propiedades sin el debido</w:t>
      </w:r>
      <w:r w:rsidR="00941BA5" w:rsidRPr="00BC3053">
        <w:rPr>
          <w:rFonts w:ascii="Century Gothic" w:hAnsi="Century Gothic"/>
          <w:sz w:val="24"/>
          <w:szCs w:val="24"/>
          <w:lang w:val="es-PR"/>
        </w:rPr>
        <w:t xml:space="preserve"> </w:t>
      </w:r>
      <w:r w:rsidR="00941BA5" w:rsidRPr="00BC3053">
        <w:rPr>
          <w:rFonts w:ascii="Century Gothic" w:hAnsi="Century Gothic"/>
          <w:b/>
          <w:sz w:val="24"/>
          <w:szCs w:val="24"/>
          <w:lang w:val="es-PR"/>
        </w:rPr>
        <w:t>proceso de ley</w:t>
      </w:r>
      <w:r w:rsidR="00941BA5" w:rsidRPr="00BC3053">
        <w:rPr>
          <w:rFonts w:ascii="Century Gothic" w:hAnsi="Century Gothic"/>
          <w:sz w:val="24"/>
          <w:szCs w:val="24"/>
          <w:lang w:val="es-PR"/>
        </w:rPr>
        <w:t xml:space="preserve"> y (2) que “</w:t>
      </w:r>
      <w:r w:rsidR="00941BA5" w:rsidRPr="00BC3053">
        <w:rPr>
          <w:rFonts w:ascii="Century Gothic" w:hAnsi="Century Gothic"/>
          <w:b/>
          <w:sz w:val="24"/>
          <w:szCs w:val="24"/>
          <w:lang w:val="es-PR"/>
        </w:rPr>
        <w:t>de la prueba surgió también que el Municipio cuenta con un puesto en cuyo título y funciones están precisamente el trabajo y tareas que se le delegó a Universal, tan es así que la testigo afirmó que el empleado en ese puesto se quedó sin función alguna</w:t>
      </w:r>
      <w:r w:rsidR="00172F62" w:rsidRPr="00BC3053">
        <w:rPr>
          <w:rFonts w:ascii="Century Gothic" w:hAnsi="Century Gothic"/>
          <w:sz w:val="24"/>
          <w:szCs w:val="24"/>
          <w:lang w:val="es-PR"/>
        </w:rPr>
        <w:t xml:space="preserve">.” Ver página 10 del </w:t>
      </w:r>
      <w:r w:rsidR="00172F62" w:rsidRPr="00BC3053">
        <w:rPr>
          <w:rFonts w:ascii="Century Gothic" w:hAnsi="Century Gothic"/>
          <w:i/>
          <w:iCs/>
          <w:sz w:val="24"/>
          <w:szCs w:val="24"/>
          <w:lang w:val="es-PR"/>
        </w:rPr>
        <w:t xml:space="preserve">Anejo </w:t>
      </w:r>
      <w:r w:rsidR="000C1764" w:rsidRPr="00BC3053">
        <w:rPr>
          <w:rFonts w:ascii="Century Gothic" w:hAnsi="Century Gothic"/>
          <w:i/>
          <w:iCs/>
          <w:sz w:val="24"/>
          <w:szCs w:val="24"/>
          <w:lang w:val="es-PR"/>
        </w:rPr>
        <w:t>56</w:t>
      </w:r>
      <w:r w:rsidRPr="00BC3053">
        <w:rPr>
          <w:rFonts w:ascii="Century Gothic" w:hAnsi="Century Gothic"/>
          <w:sz w:val="24"/>
          <w:szCs w:val="24"/>
          <w:lang w:val="es-PR"/>
        </w:rPr>
        <w:t xml:space="preserve">, Sentencia. </w:t>
      </w:r>
      <w:r w:rsidR="00941BA5" w:rsidRPr="00BC3053">
        <w:rPr>
          <w:rFonts w:ascii="Century Gothic" w:hAnsi="Century Gothic"/>
          <w:sz w:val="24"/>
          <w:szCs w:val="24"/>
          <w:lang w:val="es-PR"/>
        </w:rPr>
        <w:t xml:space="preserve"> Universal, en un </w:t>
      </w:r>
      <w:r w:rsidR="0092032B" w:rsidRPr="00BC3053">
        <w:rPr>
          <w:rFonts w:ascii="Century Gothic" w:hAnsi="Century Gothic"/>
          <w:sz w:val="24"/>
          <w:szCs w:val="24"/>
          <w:lang w:val="es-PR"/>
        </w:rPr>
        <w:t xml:space="preserve">nuevo </w:t>
      </w:r>
      <w:r w:rsidRPr="00BC3053">
        <w:rPr>
          <w:rFonts w:ascii="Century Gothic" w:hAnsi="Century Gothic"/>
          <w:sz w:val="24"/>
          <w:szCs w:val="24"/>
          <w:lang w:val="es-PR"/>
        </w:rPr>
        <w:t>intento de no entregar los expedientes al Municipio</w:t>
      </w:r>
      <w:r w:rsidR="00941BA5" w:rsidRPr="00BC3053">
        <w:rPr>
          <w:rFonts w:ascii="Century Gothic" w:hAnsi="Century Gothic"/>
          <w:sz w:val="24"/>
          <w:szCs w:val="24"/>
          <w:lang w:val="es-PR"/>
        </w:rPr>
        <w:t>, recurrió al Tribunal de Apelaciones, donde su recurso fue desestimado (KLAN202200130).</w:t>
      </w:r>
      <w:r w:rsidRPr="00BC3053">
        <w:rPr>
          <w:rFonts w:ascii="Century Gothic" w:hAnsi="Century Gothic"/>
          <w:sz w:val="24"/>
          <w:szCs w:val="24"/>
          <w:lang w:val="es-PR"/>
        </w:rPr>
        <w:t xml:space="preserve">  </w:t>
      </w:r>
      <w:r w:rsidR="00E82384" w:rsidRPr="00BC3053">
        <w:rPr>
          <w:rFonts w:ascii="Century Gothic" w:hAnsi="Century Gothic"/>
          <w:sz w:val="24"/>
          <w:szCs w:val="24"/>
          <w:lang w:val="es-PR"/>
        </w:rPr>
        <w:t xml:space="preserve">Se configuran aquí varias faltas: (1) </w:t>
      </w:r>
      <w:r w:rsidR="00E82384" w:rsidRPr="00BC3053">
        <w:rPr>
          <w:rFonts w:ascii="Century Gothic" w:hAnsi="Century Gothic"/>
          <w:b/>
          <w:sz w:val="24"/>
          <w:szCs w:val="24"/>
          <w:lang w:val="es-PR"/>
        </w:rPr>
        <w:t>violación al Canon 20 de Ética Profesional del Ejercicio de la Abogacía</w:t>
      </w:r>
      <w:r w:rsidR="000C1764" w:rsidRPr="00BC3053">
        <w:rPr>
          <w:rFonts w:ascii="Century Gothic" w:hAnsi="Century Gothic"/>
          <w:sz w:val="24"/>
          <w:szCs w:val="24"/>
          <w:lang w:val="es-PR"/>
        </w:rPr>
        <w:t>;</w:t>
      </w:r>
      <w:r w:rsidR="00E82384" w:rsidRPr="00BC3053">
        <w:rPr>
          <w:rFonts w:ascii="Century Gothic" w:hAnsi="Century Gothic"/>
          <w:sz w:val="24"/>
          <w:szCs w:val="24"/>
          <w:lang w:val="es-PR"/>
        </w:rPr>
        <w:t xml:space="preserve"> (2) </w:t>
      </w:r>
      <w:r w:rsidR="00E82384" w:rsidRPr="00BC3053">
        <w:rPr>
          <w:rFonts w:ascii="Century Gothic" w:hAnsi="Century Gothic"/>
          <w:b/>
          <w:sz w:val="24"/>
          <w:szCs w:val="24"/>
          <w:lang w:val="es-PR"/>
        </w:rPr>
        <w:t>violaciones al debido proceso de ley al interferir con los derechos propietarios de ciudadanos</w:t>
      </w:r>
      <w:r w:rsidR="000C1764" w:rsidRPr="00BC3053">
        <w:rPr>
          <w:rFonts w:ascii="Century Gothic" w:hAnsi="Century Gothic"/>
          <w:sz w:val="24"/>
          <w:szCs w:val="24"/>
          <w:lang w:val="es-PR"/>
        </w:rPr>
        <w:t>;</w:t>
      </w:r>
      <w:r w:rsidR="00E82384" w:rsidRPr="00BC3053">
        <w:rPr>
          <w:rFonts w:ascii="Century Gothic" w:hAnsi="Century Gothic"/>
          <w:sz w:val="24"/>
          <w:szCs w:val="24"/>
          <w:lang w:val="es-PR"/>
        </w:rPr>
        <w:t xml:space="preserve"> y (3) </w:t>
      </w:r>
      <w:r w:rsidR="00E82384" w:rsidRPr="00BC3053">
        <w:rPr>
          <w:rFonts w:ascii="Century Gothic" w:hAnsi="Century Gothic"/>
          <w:b/>
          <w:sz w:val="24"/>
          <w:szCs w:val="24"/>
          <w:lang w:val="es-PR"/>
        </w:rPr>
        <w:t>violación a</w:t>
      </w:r>
      <w:r w:rsidRPr="00BC3053">
        <w:rPr>
          <w:rFonts w:ascii="Century Gothic" w:hAnsi="Century Gothic"/>
          <w:b/>
          <w:sz w:val="24"/>
          <w:szCs w:val="24"/>
          <w:lang w:val="es-PR"/>
        </w:rPr>
        <w:t>l Artículo 2.047 del C</w:t>
      </w:r>
      <w:r w:rsidR="00E82384" w:rsidRPr="00BC3053">
        <w:rPr>
          <w:rFonts w:ascii="Century Gothic" w:hAnsi="Century Gothic"/>
          <w:b/>
          <w:sz w:val="24"/>
          <w:szCs w:val="24"/>
          <w:lang w:val="es-PR"/>
        </w:rPr>
        <w:t>ódigo Municipal</w:t>
      </w:r>
      <w:r w:rsidR="00E82384" w:rsidRPr="00BC3053">
        <w:rPr>
          <w:rFonts w:ascii="Century Gothic" w:hAnsi="Century Gothic"/>
          <w:sz w:val="24"/>
          <w:szCs w:val="24"/>
          <w:lang w:val="es-PR"/>
        </w:rPr>
        <w:t xml:space="preserve"> que dispone que l</w:t>
      </w:r>
      <w:r w:rsidRPr="00BC3053">
        <w:rPr>
          <w:rFonts w:ascii="Century Gothic" w:hAnsi="Century Gothic"/>
          <w:sz w:val="24"/>
          <w:szCs w:val="24"/>
          <w:lang w:val="es-PR"/>
        </w:rPr>
        <w:t xml:space="preserve">as autoridades nominadoras se abstendrán de formalizar contratos de servicios con personas en su carácter individual cuando las condiciones y características de la relación que se establezca sean propias de un puesto y equivalentes a una relación patrono-empleado. </w:t>
      </w:r>
    </w:p>
    <w:p w14:paraId="2753E473" w14:textId="628FA92D" w:rsidR="00103EB6" w:rsidRPr="00BC3053" w:rsidRDefault="00060B2D" w:rsidP="009D38A8">
      <w:pPr>
        <w:spacing w:line="240" w:lineRule="auto"/>
        <w:ind w:firstLine="360"/>
        <w:jc w:val="both"/>
        <w:rPr>
          <w:rFonts w:ascii="Century Gothic" w:hAnsi="Century Gothic" w:cs="BookAntiqua"/>
          <w:sz w:val="24"/>
          <w:szCs w:val="24"/>
          <w:lang w:val="es-PR"/>
        </w:rPr>
      </w:pPr>
      <w:r w:rsidRPr="00BC3053">
        <w:rPr>
          <w:rFonts w:ascii="Century Gothic" w:hAnsi="Century Gothic"/>
          <w:sz w:val="24"/>
          <w:szCs w:val="24"/>
          <w:lang w:val="es-PR"/>
        </w:rPr>
        <w:t xml:space="preserve">En el caso del </w:t>
      </w:r>
      <w:r w:rsidRPr="00BC3053">
        <w:rPr>
          <w:rFonts w:ascii="Century Gothic" w:hAnsi="Century Gothic"/>
          <w:b/>
          <w:sz w:val="24"/>
          <w:szCs w:val="24"/>
          <w:lang w:val="es-PR"/>
        </w:rPr>
        <w:t>Municipio de Dorado</w:t>
      </w:r>
      <w:r w:rsidRPr="00BC3053">
        <w:rPr>
          <w:rFonts w:ascii="Century Gothic" w:hAnsi="Century Gothic"/>
          <w:sz w:val="24"/>
          <w:szCs w:val="24"/>
          <w:lang w:val="es-PR"/>
        </w:rPr>
        <w:t xml:space="preserve">, </w:t>
      </w:r>
      <w:r w:rsidRPr="00BC3053">
        <w:rPr>
          <w:rFonts w:ascii="Century Gothic" w:hAnsi="Century Gothic" w:cs="BookAntiqua"/>
          <w:sz w:val="24"/>
          <w:szCs w:val="24"/>
          <w:lang w:val="es-PR"/>
        </w:rPr>
        <w:t>m</w:t>
      </w:r>
      <w:r w:rsidR="00030915" w:rsidRPr="00BC3053">
        <w:rPr>
          <w:rFonts w:ascii="Century Gothic" w:hAnsi="Century Gothic" w:cs="BookAntiqua"/>
          <w:sz w:val="24"/>
          <w:szCs w:val="24"/>
          <w:lang w:val="es-PR"/>
        </w:rPr>
        <w:t xml:space="preserve">ediante Recurso Especial de Acceso a Información Pública, un ciudadano solicitó al Tribunal que se le proveyera el Inventario de Propiedades Declaradas como Estorbo Público correspondiente al Municipio de Dorado que, según el artículo 4.011 del Código Municipal, el municipio viene obligado a tener disponible.  El Municipio y Universal expusieron que “el inventario solicitado no existía y que, en todo caso, </w:t>
      </w:r>
      <w:r w:rsidR="00030915" w:rsidRPr="00BC3053">
        <w:rPr>
          <w:rFonts w:ascii="Century Gothic" w:hAnsi="Century Gothic" w:cs="BookAntiqua"/>
          <w:b/>
          <w:i/>
          <w:sz w:val="24"/>
          <w:szCs w:val="24"/>
          <w:lang w:val="es-PR"/>
        </w:rPr>
        <w:t>no procedía divulgar la información sobre las propiedades identificadas como estorbo porque la misma era de naturaleza confidencial</w:t>
      </w:r>
      <w:r w:rsidR="00030915" w:rsidRPr="00BC3053">
        <w:rPr>
          <w:rFonts w:ascii="Century Gothic" w:hAnsi="Century Gothic" w:cs="BookAntiqua"/>
          <w:sz w:val="24"/>
          <w:szCs w:val="24"/>
          <w:lang w:val="es-PR"/>
        </w:rPr>
        <w:t>”.</w:t>
      </w:r>
      <w:r w:rsidRPr="00BC3053">
        <w:rPr>
          <w:rFonts w:ascii="Century Gothic" w:hAnsi="Century Gothic" w:cs="BookAntiqua"/>
          <w:sz w:val="24"/>
          <w:szCs w:val="24"/>
          <w:lang w:val="es-PR"/>
        </w:rPr>
        <w:t xml:space="preserve"> </w:t>
      </w:r>
      <w:r w:rsidR="000C1764" w:rsidRPr="00BC3053">
        <w:rPr>
          <w:rFonts w:ascii="Century Gothic" w:hAnsi="Century Gothic" w:cs="BookAntiqua"/>
          <w:sz w:val="24"/>
          <w:szCs w:val="24"/>
          <w:lang w:val="es-PR"/>
        </w:rPr>
        <w:t>(</w:t>
      </w:r>
      <w:r w:rsidR="00030915" w:rsidRPr="00BC3053">
        <w:rPr>
          <w:rFonts w:ascii="Century Gothic" w:hAnsi="Century Gothic" w:cs="BookAntiqua"/>
          <w:sz w:val="24"/>
          <w:szCs w:val="24"/>
          <w:lang w:val="es-PR"/>
        </w:rPr>
        <w:t xml:space="preserve">Énfasis </w:t>
      </w:r>
      <w:r w:rsidR="000C1764" w:rsidRPr="00BC3053">
        <w:rPr>
          <w:rFonts w:ascii="Century Gothic" w:hAnsi="Century Gothic" w:cs="BookAntiqua"/>
          <w:sz w:val="24"/>
          <w:szCs w:val="24"/>
          <w:lang w:val="es-PR"/>
        </w:rPr>
        <w:t>s</w:t>
      </w:r>
      <w:r w:rsidR="00030915" w:rsidRPr="00BC3053">
        <w:rPr>
          <w:rFonts w:ascii="Century Gothic" w:hAnsi="Century Gothic" w:cs="BookAntiqua"/>
          <w:sz w:val="24"/>
          <w:szCs w:val="24"/>
          <w:lang w:val="es-PR"/>
        </w:rPr>
        <w:t>uplido</w:t>
      </w:r>
      <w:r w:rsidR="000C1764" w:rsidRPr="00BC3053">
        <w:rPr>
          <w:rFonts w:ascii="Century Gothic" w:hAnsi="Century Gothic" w:cs="BookAntiqua"/>
          <w:sz w:val="24"/>
          <w:szCs w:val="24"/>
          <w:lang w:val="es-PR"/>
        </w:rPr>
        <w:t>).</w:t>
      </w:r>
      <w:r w:rsidR="00030915" w:rsidRPr="00BC3053">
        <w:rPr>
          <w:rFonts w:ascii="Century Gothic" w:hAnsi="Century Gothic" w:cs="BookAntiqua"/>
          <w:sz w:val="24"/>
          <w:szCs w:val="24"/>
          <w:lang w:val="es-PR"/>
        </w:rPr>
        <w:t xml:space="preserve"> </w:t>
      </w:r>
      <w:r w:rsidR="00B36420" w:rsidRPr="00BC3053">
        <w:rPr>
          <w:rFonts w:ascii="Century Gothic" w:hAnsi="Century Gothic" w:cs="BookAntiqua"/>
          <w:sz w:val="24"/>
          <w:szCs w:val="24"/>
          <w:lang w:val="es-PR"/>
        </w:rPr>
        <w:t xml:space="preserve">El Tribunal resolvió </w:t>
      </w:r>
      <w:r w:rsidR="000C1764" w:rsidRPr="00BC3053">
        <w:rPr>
          <w:rFonts w:ascii="Century Gothic" w:hAnsi="Century Gothic" w:cs="BookAntiqua"/>
          <w:sz w:val="24"/>
          <w:szCs w:val="24"/>
          <w:lang w:val="es-PR"/>
        </w:rPr>
        <w:t>que,</w:t>
      </w:r>
      <w:r w:rsidR="00B36420" w:rsidRPr="00BC3053">
        <w:rPr>
          <w:rFonts w:ascii="Century Gothic" w:hAnsi="Century Gothic" w:cs="BookAntiqua"/>
          <w:sz w:val="24"/>
          <w:szCs w:val="24"/>
          <w:lang w:val="es-PR"/>
        </w:rPr>
        <w:t xml:space="preserve"> al no existir Inventario, no había derecho a la información solicitada. </w:t>
      </w:r>
      <w:r w:rsidR="00030915" w:rsidRPr="00BC3053">
        <w:rPr>
          <w:rFonts w:ascii="Century Gothic" w:hAnsi="Century Gothic" w:cs="BookAntiqua"/>
          <w:sz w:val="24"/>
          <w:szCs w:val="24"/>
          <w:lang w:val="es-PR"/>
        </w:rPr>
        <w:t xml:space="preserve">Ver </w:t>
      </w:r>
      <w:r w:rsidR="00030915" w:rsidRPr="00BC3053">
        <w:rPr>
          <w:rFonts w:ascii="Century Gothic" w:hAnsi="Century Gothic" w:cs="BookAntiqua"/>
          <w:i/>
          <w:iCs/>
          <w:sz w:val="24"/>
          <w:szCs w:val="24"/>
          <w:lang w:val="es-PR"/>
        </w:rPr>
        <w:t xml:space="preserve">Anejo </w:t>
      </w:r>
      <w:r w:rsidR="000C1764" w:rsidRPr="00BC3053">
        <w:rPr>
          <w:rFonts w:ascii="Century Gothic" w:hAnsi="Century Gothic" w:cs="BookAntiqua"/>
          <w:i/>
          <w:iCs/>
          <w:sz w:val="24"/>
          <w:szCs w:val="24"/>
          <w:lang w:val="es-PR"/>
        </w:rPr>
        <w:t>57</w:t>
      </w:r>
      <w:r w:rsidR="0011010B" w:rsidRPr="00BC3053">
        <w:rPr>
          <w:rFonts w:ascii="Century Gothic" w:hAnsi="Century Gothic" w:cs="BookAntiqua"/>
          <w:i/>
          <w:iCs/>
          <w:sz w:val="24"/>
          <w:szCs w:val="24"/>
          <w:lang w:val="es-PR"/>
        </w:rPr>
        <w:t>,</w:t>
      </w:r>
      <w:r w:rsidR="000C1764" w:rsidRPr="00BC3053">
        <w:rPr>
          <w:rFonts w:ascii="Century Gothic" w:hAnsi="Century Gothic" w:cs="BookAntiqua"/>
          <w:sz w:val="24"/>
          <w:szCs w:val="24"/>
          <w:lang w:val="es-PR"/>
        </w:rPr>
        <w:t xml:space="preserve"> </w:t>
      </w:r>
      <w:r w:rsidR="00030915" w:rsidRPr="00BC3053">
        <w:rPr>
          <w:rFonts w:ascii="Century Gothic" w:hAnsi="Century Gothic" w:cs="BookAntiqua"/>
          <w:sz w:val="24"/>
          <w:szCs w:val="24"/>
          <w:lang w:val="es-PR"/>
        </w:rPr>
        <w:t xml:space="preserve">Resolución, Ferré v. Municipio de Dorado, Civil Número SJ2021CV02718. </w:t>
      </w:r>
      <w:r w:rsidR="002371B6" w:rsidRPr="00BC3053">
        <w:rPr>
          <w:rFonts w:ascii="Century Gothic" w:hAnsi="Century Gothic" w:cs="BookAntiqua"/>
          <w:sz w:val="24"/>
          <w:szCs w:val="24"/>
          <w:lang w:val="es-PR"/>
        </w:rPr>
        <w:t xml:space="preserve"> </w:t>
      </w:r>
      <w:r w:rsidR="00266C36" w:rsidRPr="00BC3053">
        <w:rPr>
          <w:rFonts w:ascii="Century Gothic" w:hAnsi="Century Gothic" w:cs="BookAntiqua"/>
          <w:sz w:val="24"/>
          <w:szCs w:val="24"/>
          <w:lang w:val="es-PR"/>
        </w:rPr>
        <w:t>Sin embargo t</w:t>
      </w:r>
      <w:r w:rsidR="002371B6" w:rsidRPr="00BC3053">
        <w:rPr>
          <w:rFonts w:ascii="Century Gothic" w:hAnsi="Century Gothic" w:cs="BookAntiqua"/>
          <w:sz w:val="24"/>
          <w:szCs w:val="24"/>
          <w:lang w:val="es-PR"/>
        </w:rPr>
        <w:t xml:space="preserve">anto la inexistencia del Inventario como la negativa a divulgar información constituyen </w:t>
      </w:r>
      <w:r w:rsidR="002371B6" w:rsidRPr="00BC3053">
        <w:rPr>
          <w:rFonts w:ascii="Century Gothic" w:hAnsi="Century Gothic" w:cs="BookAntiqua"/>
          <w:b/>
          <w:sz w:val="24"/>
          <w:szCs w:val="24"/>
          <w:lang w:val="es-PR"/>
        </w:rPr>
        <w:t>violaciones al Artículo 4.011 del Código Municipal</w:t>
      </w:r>
      <w:r w:rsidR="002371B6" w:rsidRPr="00BC3053">
        <w:rPr>
          <w:rFonts w:ascii="Century Gothic" w:hAnsi="Century Gothic" w:cs="BookAntiqua"/>
          <w:sz w:val="24"/>
          <w:szCs w:val="24"/>
          <w:lang w:val="es-PR"/>
        </w:rPr>
        <w:t xml:space="preserve">. </w:t>
      </w:r>
    </w:p>
    <w:p w14:paraId="40D4E7E4" w14:textId="02552270" w:rsidR="006014D6" w:rsidRPr="00BC3053" w:rsidRDefault="009D38A8" w:rsidP="009D38A8">
      <w:pPr>
        <w:spacing w:line="240" w:lineRule="auto"/>
        <w:ind w:firstLine="360"/>
        <w:jc w:val="both"/>
        <w:rPr>
          <w:rFonts w:ascii="Century Gothic" w:hAnsi="Century Gothic" w:cs="BookAntiqua"/>
          <w:sz w:val="24"/>
          <w:szCs w:val="24"/>
          <w:lang w:val="es-PR"/>
        </w:rPr>
      </w:pPr>
      <w:r w:rsidRPr="00BC3053">
        <w:rPr>
          <w:rFonts w:ascii="Century Gothic" w:hAnsi="Century Gothic" w:cs="BookAntiqua"/>
          <w:sz w:val="24"/>
          <w:szCs w:val="24"/>
          <w:lang w:val="es-PR"/>
        </w:rPr>
        <w:lastRenderedPageBreak/>
        <w:t>A pesar de que la Junta de Gobierno del CRIM ha abdicado a su función de velar por los recaudos a su favor en los casos de expropiación a favor de terceros, nos parece fundamental exponer la siguiente irregularidad</w:t>
      </w:r>
      <w:r w:rsidRPr="00BC3053">
        <w:rPr>
          <w:rStyle w:val="FootnoteReference"/>
          <w:rFonts w:ascii="Century Gothic" w:hAnsi="Century Gothic" w:cs="BookAntiqua"/>
          <w:sz w:val="24"/>
          <w:szCs w:val="24"/>
          <w:lang w:val="es-PR"/>
        </w:rPr>
        <w:footnoteReference w:id="5"/>
      </w:r>
      <w:r w:rsidRPr="00BC3053">
        <w:rPr>
          <w:rFonts w:ascii="Century Gothic" w:hAnsi="Century Gothic" w:cs="BookAntiqua"/>
          <w:sz w:val="24"/>
          <w:szCs w:val="24"/>
          <w:lang w:val="es-PR"/>
        </w:rPr>
        <w:t xml:space="preserve">. </w:t>
      </w:r>
      <w:r w:rsidR="000C1764" w:rsidRPr="00BC3053">
        <w:rPr>
          <w:rFonts w:ascii="Century Gothic" w:hAnsi="Century Gothic" w:cs="BookAntiqua"/>
          <w:sz w:val="24"/>
          <w:szCs w:val="24"/>
          <w:lang w:val="es-PR"/>
        </w:rPr>
        <w:t>Hasta</w:t>
      </w:r>
      <w:r w:rsidRPr="00BC3053">
        <w:rPr>
          <w:rFonts w:ascii="Century Gothic" w:hAnsi="Century Gothic" w:cs="BookAntiqua"/>
          <w:sz w:val="24"/>
          <w:szCs w:val="24"/>
          <w:lang w:val="es-PR"/>
        </w:rPr>
        <w:t xml:space="preserve"> muy recientemente el CRIM había comparecido en varios casos de expropiación, </w:t>
      </w:r>
      <w:r w:rsidR="00DC69F6" w:rsidRPr="00BC3053">
        <w:rPr>
          <w:rFonts w:ascii="Century Gothic" w:hAnsi="Century Gothic" w:cs="BookAntiqua"/>
          <w:sz w:val="24"/>
          <w:szCs w:val="24"/>
          <w:lang w:val="es-PR"/>
        </w:rPr>
        <w:t xml:space="preserve">planteando que no procede que, con anterioridad a la determinación del Tribunal sobre lo que constituye justa compensación en cada caso, se descuente del precio de venta a los solicitantes adquirientes el monto de las contribuciones adeudadas al CRIM. </w:t>
      </w:r>
      <w:r w:rsidR="006014D6" w:rsidRPr="00BC3053">
        <w:rPr>
          <w:rFonts w:ascii="Century Gothic" w:hAnsi="Century Gothic" w:cs="BookAntiqua"/>
          <w:sz w:val="24"/>
          <w:szCs w:val="24"/>
          <w:lang w:val="es-PR"/>
        </w:rPr>
        <w:t xml:space="preserve">Ver </w:t>
      </w:r>
      <w:r w:rsidR="006014D6" w:rsidRPr="00BC3053">
        <w:rPr>
          <w:rFonts w:ascii="Century Gothic" w:hAnsi="Century Gothic" w:cs="BookAntiqua"/>
          <w:i/>
          <w:sz w:val="24"/>
          <w:szCs w:val="24"/>
          <w:lang w:val="es-PR"/>
        </w:rPr>
        <w:t xml:space="preserve">Municipio de Caguas v. Mariana </w:t>
      </w:r>
      <w:proofErr w:type="spellStart"/>
      <w:r w:rsidR="006014D6" w:rsidRPr="00BC3053">
        <w:rPr>
          <w:rFonts w:ascii="Century Gothic" w:hAnsi="Century Gothic" w:cs="BookAntiqua"/>
          <w:i/>
          <w:sz w:val="24"/>
          <w:szCs w:val="24"/>
          <w:lang w:val="es-PR"/>
        </w:rPr>
        <w:t>Sellés</w:t>
      </w:r>
      <w:proofErr w:type="spellEnd"/>
      <w:r w:rsidR="006014D6" w:rsidRPr="00BC3053">
        <w:rPr>
          <w:rFonts w:ascii="Century Gothic" w:hAnsi="Century Gothic" w:cs="BookAntiqua"/>
          <w:i/>
          <w:sz w:val="24"/>
          <w:szCs w:val="24"/>
          <w:lang w:val="es-PR"/>
        </w:rPr>
        <w:t>, KLAN202200728</w:t>
      </w:r>
      <w:r w:rsidR="006014D6" w:rsidRPr="00BC3053">
        <w:rPr>
          <w:rFonts w:ascii="Century Gothic" w:hAnsi="Century Gothic" w:cs="BookAntiqua"/>
          <w:sz w:val="24"/>
          <w:szCs w:val="24"/>
          <w:lang w:val="es-PR"/>
        </w:rPr>
        <w:t>.</w:t>
      </w:r>
      <w:r w:rsidR="00DC69F6" w:rsidRPr="00BC3053">
        <w:rPr>
          <w:rFonts w:ascii="Century Gothic" w:hAnsi="Century Gothic" w:cs="BookAntiqua"/>
          <w:sz w:val="24"/>
          <w:szCs w:val="24"/>
          <w:lang w:val="es-PR"/>
        </w:rPr>
        <w:t xml:space="preserve"> </w:t>
      </w:r>
      <w:r w:rsidRPr="00BC3053">
        <w:rPr>
          <w:rFonts w:ascii="Century Gothic" w:hAnsi="Century Gothic" w:cs="BookAntiqua"/>
          <w:sz w:val="24"/>
          <w:szCs w:val="24"/>
          <w:lang w:val="es-PR"/>
        </w:rPr>
        <w:t>Tal y como se desprende de las disposiciones del Código Municipal y de la Ley General de Expropiaciones discutidas al inicio de este escrito, la condonación de deudas sobre propiedad inmueble sólo procede cuando la expropiación se realiza para fines de utilidad pública. Cuando se condonan deudas en casos de solicitantes adquirientes, es transparente que la única intención es beneficiar a intereses privado</w:t>
      </w:r>
      <w:r w:rsidR="006A4148">
        <w:rPr>
          <w:rFonts w:ascii="Century Gothic" w:hAnsi="Century Gothic" w:cs="BookAntiqua"/>
          <w:sz w:val="24"/>
          <w:szCs w:val="24"/>
          <w:lang w:val="es-PR"/>
        </w:rPr>
        <w:t>s que utilizan la facultad del E</w:t>
      </w:r>
      <w:r w:rsidRPr="00BC3053">
        <w:rPr>
          <w:rFonts w:ascii="Century Gothic" w:hAnsi="Century Gothic" w:cs="BookAntiqua"/>
          <w:sz w:val="24"/>
          <w:szCs w:val="24"/>
          <w:lang w:val="es-PR"/>
        </w:rPr>
        <w:t>stado de privar a ciudadanos de su propiedad para consumar transacciones que no podrían realizar por su cuenta</w:t>
      </w:r>
      <w:r w:rsidR="00266C36" w:rsidRPr="00BC3053">
        <w:rPr>
          <w:rFonts w:ascii="Century Gothic" w:hAnsi="Century Gothic" w:cs="BookAntiqua"/>
          <w:sz w:val="24"/>
          <w:szCs w:val="24"/>
          <w:lang w:val="es-PR"/>
        </w:rPr>
        <w:t xml:space="preserve">, o a un precio sustancialmente más bajo que el que lograrían mediante una compraventa directa.  La condonación de las deudas del CRIM se ha convertido en una donación a quien compra las propiedades expropiadas que ya han escogido. </w:t>
      </w:r>
      <w:r w:rsidRPr="00BC3053">
        <w:rPr>
          <w:rFonts w:ascii="Century Gothic" w:hAnsi="Century Gothic" w:cs="BookAntiqua"/>
          <w:sz w:val="24"/>
          <w:szCs w:val="24"/>
          <w:lang w:val="es-PR"/>
        </w:rPr>
        <w:t xml:space="preserve"> </w:t>
      </w:r>
      <w:r w:rsidR="006014D6" w:rsidRPr="00BC3053">
        <w:rPr>
          <w:rFonts w:ascii="Century Gothic" w:hAnsi="Century Gothic" w:cs="BookAntiqua"/>
          <w:sz w:val="24"/>
          <w:szCs w:val="24"/>
          <w:lang w:val="es-PR"/>
        </w:rPr>
        <w:t xml:space="preserve"> </w:t>
      </w:r>
    </w:p>
    <w:p w14:paraId="6158C945" w14:textId="21A93D6A" w:rsidR="009D38A8" w:rsidRPr="00BC3053" w:rsidRDefault="006014D6" w:rsidP="009D38A8">
      <w:pPr>
        <w:spacing w:line="240" w:lineRule="auto"/>
        <w:ind w:firstLine="360"/>
        <w:jc w:val="both"/>
        <w:rPr>
          <w:rFonts w:ascii="Century Gothic" w:hAnsi="Century Gothic" w:cs="BookAntiqua"/>
          <w:sz w:val="24"/>
          <w:szCs w:val="24"/>
          <w:lang w:val="es-PR"/>
        </w:rPr>
      </w:pPr>
      <w:r w:rsidRPr="00BC3053">
        <w:rPr>
          <w:rFonts w:ascii="Century Gothic" w:hAnsi="Century Gothic" w:cs="BookAntiqua"/>
          <w:sz w:val="24"/>
          <w:szCs w:val="24"/>
          <w:lang w:val="es-PR"/>
        </w:rPr>
        <w:t xml:space="preserve">Por otra parte, si es la interpretación de los municipios que la venta a terceros tiene que considerarse como “una utilidad pública”, </w:t>
      </w:r>
      <w:r w:rsidR="00266C36" w:rsidRPr="00BC3053">
        <w:rPr>
          <w:rFonts w:ascii="Century Gothic" w:hAnsi="Century Gothic" w:cs="BookAntiqua"/>
          <w:sz w:val="24"/>
          <w:szCs w:val="24"/>
          <w:lang w:val="es-PR"/>
        </w:rPr>
        <w:t xml:space="preserve">y que por lo tanto sí procede la condonación de deudas del CRIM, </w:t>
      </w:r>
      <w:r w:rsidRPr="00BC3053">
        <w:rPr>
          <w:rFonts w:ascii="Century Gothic" w:hAnsi="Century Gothic" w:cs="BookAntiqua"/>
          <w:sz w:val="24"/>
          <w:szCs w:val="24"/>
          <w:lang w:val="es-PR"/>
        </w:rPr>
        <w:t>entonces es inescapable que la expropiación no puede llevarse a cabo sin la ordenanza que exige el Artículo 2.018 del Código Municipal, asunto que, antes de la determinación de la Junta de Gobierno, también había planteado el CRIM.</w:t>
      </w:r>
    </w:p>
    <w:p w14:paraId="272DD01C" w14:textId="445A1404" w:rsidR="00984FE5" w:rsidRPr="00BC3053" w:rsidRDefault="00266C36" w:rsidP="00984FE5">
      <w:pPr>
        <w:spacing w:after="0" w:line="240" w:lineRule="auto"/>
        <w:ind w:firstLine="360"/>
        <w:jc w:val="both"/>
        <w:rPr>
          <w:rFonts w:ascii="Century Gothic" w:hAnsi="Century Gothic" w:cs="Times New Roman"/>
          <w:sz w:val="24"/>
          <w:szCs w:val="24"/>
          <w:lang w:val="es-PR"/>
        </w:rPr>
      </w:pPr>
      <w:r w:rsidRPr="00BC3053">
        <w:rPr>
          <w:rFonts w:ascii="Century Gothic" w:hAnsi="Century Gothic" w:cs="BookAntiqua"/>
          <w:sz w:val="24"/>
          <w:szCs w:val="24"/>
          <w:lang w:val="es-PR"/>
        </w:rPr>
        <w:t>El CRIM ha denunciado</w:t>
      </w:r>
      <w:r w:rsidR="004F034E" w:rsidRPr="00BC3053">
        <w:rPr>
          <w:rFonts w:ascii="Century Gothic" w:hAnsi="Century Gothic" w:cs="BookAntiqua"/>
          <w:sz w:val="24"/>
          <w:szCs w:val="24"/>
          <w:lang w:val="es-PR"/>
        </w:rPr>
        <w:t xml:space="preserve"> además la existencia de un serio conflicto de interés en los casos manejados por Francis &amp; </w:t>
      </w:r>
      <w:proofErr w:type="spellStart"/>
      <w:r w:rsidR="004F034E" w:rsidRPr="00BC3053">
        <w:rPr>
          <w:rFonts w:ascii="Century Gothic" w:hAnsi="Century Gothic" w:cs="BookAntiqua"/>
          <w:sz w:val="24"/>
          <w:szCs w:val="24"/>
          <w:lang w:val="es-PR"/>
        </w:rPr>
        <w:t>Gueits</w:t>
      </w:r>
      <w:proofErr w:type="spellEnd"/>
      <w:r w:rsidR="004F034E" w:rsidRPr="00BC3053">
        <w:rPr>
          <w:rFonts w:ascii="Century Gothic" w:hAnsi="Century Gothic" w:cs="BookAntiqua"/>
          <w:sz w:val="24"/>
          <w:szCs w:val="24"/>
          <w:lang w:val="es-PR"/>
        </w:rPr>
        <w:t xml:space="preserve"> en represe</w:t>
      </w:r>
      <w:r w:rsidRPr="00BC3053">
        <w:rPr>
          <w:rFonts w:ascii="Century Gothic" w:hAnsi="Century Gothic" w:cs="BookAntiqua"/>
          <w:sz w:val="24"/>
          <w:szCs w:val="24"/>
          <w:lang w:val="es-PR"/>
        </w:rPr>
        <w:t xml:space="preserve">ntación del Municipio de Caguas. El contrato con ese bufete  </w:t>
      </w:r>
      <w:r w:rsidR="004F034E" w:rsidRPr="00BC3053">
        <w:rPr>
          <w:rFonts w:ascii="Century Gothic" w:hAnsi="Century Gothic" w:cs="BookAntiqua"/>
          <w:sz w:val="24"/>
          <w:szCs w:val="24"/>
          <w:lang w:val="es-PR"/>
        </w:rPr>
        <w:t xml:space="preserve">dispone que el Municipio no será responsable de gastos e inversiones, pues la ganancia de la venta será </w:t>
      </w:r>
      <w:r w:rsidR="006014D6" w:rsidRPr="00BC3053">
        <w:rPr>
          <w:rFonts w:ascii="Century Gothic" w:hAnsi="Century Gothic" w:cs="BookAntiqua"/>
          <w:sz w:val="24"/>
          <w:szCs w:val="24"/>
          <w:lang w:val="es-PR"/>
        </w:rPr>
        <w:t xml:space="preserve">la </w:t>
      </w:r>
      <w:r w:rsidRPr="00BC3053">
        <w:rPr>
          <w:rFonts w:ascii="Century Gothic" w:hAnsi="Century Gothic" w:cs="BookAntiqua"/>
          <w:sz w:val="24"/>
          <w:szCs w:val="24"/>
          <w:lang w:val="es-PR"/>
        </w:rPr>
        <w:t xml:space="preserve">que gestionen esos </w:t>
      </w:r>
      <w:r w:rsidR="004F034E" w:rsidRPr="00BC3053">
        <w:rPr>
          <w:rFonts w:ascii="Century Gothic" w:hAnsi="Century Gothic" w:cs="BookAntiqua"/>
          <w:sz w:val="24"/>
          <w:szCs w:val="24"/>
          <w:lang w:val="es-PR"/>
        </w:rPr>
        <w:t>abogados</w:t>
      </w:r>
      <w:r w:rsidRPr="00BC3053">
        <w:rPr>
          <w:rFonts w:ascii="Century Gothic" w:hAnsi="Century Gothic" w:cs="BookAntiqua"/>
          <w:sz w:val="24"/>
          <w:szCs w:val="24"/>
          <w:lang w:val="es-PR"/>
        </w:rPr>
        <w:t xml:space="preserve">, </w:t>
      </w:r>
      <w:r w:rsidR="004F034E" w:rsidRPr="00BC3053">
        <w:rPr>
          <w:rFonts w:ascii="Century Gothic" w:hAnsi="Century Gothic" w:cs="BookAntiqua"/>
          <w:sz w:val="24"/>
          <w:szCs w:val="24"/>
          <w:lang w:val="es-PR"/>
        </w:rPr>
        <w:t xml:space="preserve"> que maneja</w:t>
      </w:r>
      <w:r w:rsidRPr="00BC3053">
        <w:rPr>
          <w:rFonts w:ascii="Century Gothic" w:hAnsi="Century Gothic" w:cs="BookAntiqua"/>
          <w:sz w:val="24"/>
          <w:szCs w:val="24"/>
          <w:lang w:val="es-PR"/>
        </w:rPr>
        <w:t xml:space="preserve">n desde </w:t>
      </w:r>
      <w:r w:rsidR="004F034E" w:rsidRPr="00BC3053">
        <w:rPr>
          <w:rFonts w:ascii="Century Gothic" w:hAnsi="Century Gothic" w:cs="BookAntiqua"/>
          <w:sz w:val="24"/>
          <w:szCs w:val="24"/>
          <w:lang w:val="es-PR"/>
        </w:rPr>
        <w:t>la decla</w:t>
      </w:r>
      <w:r w:rsidRPr="00BC3053">
        <w:rPr>
          <w:rFonts w:ascii="Century Gothic" w:hAnsi="Century Gothic" w:cs="BookAntiqua"/>
          <w:sz w:val="24"/>
          <w:szCs w:val="24"/>
          <w:lang w:val="es-PR"/>
        </w:rPr>
        <w:t xml:space="preserve">ración de estorbo público y </w:t>
      </w:r>
      <w:r w:rsidR="004F034E" w:rsidRPr="00BC3053">
        <w:rPr>
          <w:rFonts w:ascii="Century Gothic" w:hAnsi="Century Gothic" w:cs="BookAntiqua"/>
          <w:sz w:val="24"/>
          <w:szCs w:val="24"/>
          <w:lang w:val="es-PR"/>
        </w:rPr>
        <w:t xml:space="preserve">el </w:t>
      </w:r>
      <w:r w:rsidRPr="00BC3053">
        <w:rPr>
          <w:rFonts w:ascii="Century Gothic" w:hAnsi="Century Gothic" w:cs="BookAntiqua"/>
          <w:sz w:val="24"/>
          <w:szCs w:val="24"/>
          <w:lang w:val="es-PR"/>
        </w:rPr>
        <w:t xml:space="preserve">mantenimiento de la propiedad hasta </w:t>
      </w:r>
      <w:r w:rsidR="006A4148">
        <w:rPr>
          <w:rFonts w:ascii="Century Gothic" w:hAnsi="Century Gothic" w:cs="BookAntiqua"/>
          <w:sz w:val="24"/>
          <w:szCs w:val="24"/>
          <w:lang w:val="es-PR"/>
        </w:rPr>
        <w:t>el proceso de expropiación. Ha planteado el CRIM que “e</w:t>
      </w:r>
      <w:r w:rsidR="004F034E" w:rsidRPr="00BC3053">
        <w:rPr>
          <w:rFonts w:ascii="Century Gothic" w:hAnsi="Century Gothic" w:cs="BookAntiqua"/>
          <w:sz w:val="24"/>
          <w:szCs w:val="24"/>
          <w:lang w:val="es-PR"/>
        </w:rPr>
        <w:t xml:space="preserve">sto de por sí, trae como consecuencia que el propio bufete  y sus abogados sean quienes representen al Municipio en un caso de expropiación de estorbo público y sean estos los que testifiquen en el mismo proceso por su interés pecuniario de cobrar una cuestionable factura de $51,300 dólares. Esto es contrario al Canon 22 y 23 de Ética Profesional, ya que un abogado no puede testificar en beneficio de su cliente, lo cual en este caso es cuestionable, y tampoco puede estar en un caso donde tiene un interés pecuniario en un asunto en litigio que le ha sido encomendado…”. </w:t>
      </w:r>
      <w:r w:rsidR="00863CC3" w:rsidRPr="00BC3053">
        <w:rPr>
          <w:rFonts w:ascii="Century Gothic" w:hAnsi="Century Gothic" w:cs="BookAntiqua"/>
          <w:sz w:val="24"/>
          <w:szCs w:val="24"/>
          <w:lang w:val="es-PR"/>
        </w:rPr>
        <w:t xml:space="preserve">En ese caso en particular, el CRIM apunta además a que la petición de expropiación se </w:t>
      </w:r>
      <w:r w:rsidR="00863CC3" w:rsidRPr="00BC3053">
        <w:rPr>
          <w:rFonts w:ascii="Century Gothic" w:hAnsi="Century Gothic" w:cs="BookAntiqua"/>
          <w:sz w:val="24"/>
          <w:szCs w:val="24"/>
          <w:lang w:val="es-PR"/>
        </w:rPr>
        <w:lastRenderedPageBreak/>
        <w:t xml:space="preserve">presentó sin especificar si se trataba de una expropiación a favor de terceros o si es para obra pública municipal, lo que requiere la aprobación de Ordenanza. Ver </w:t>
      </w:r>
      <w:r w:rsidR="009C2788" w:rsidRPr="00BC3053">
        <w:rPr>
          <w:rFonts w:ascii="Century Gothic" w:hAnsi="Century Gothic" w:cs="BookAntiqua"/>
          <w:i/>
          <w:iCs/>
          <w:sz w:val="24"/>
          <w:szCs w:val="24"/>
          <w:lang w:val="es-PR"/>
        </w:rPr>
        <w:t>Anejo 58</w:t>
      </w:r>
      <w:r w:rsidR="009C2788" w:rsidRPr="00BC3053">
        <w:rPr>
          <w:rFonts w:ascii="Century Gothic" w:hAnsi="Century Gothic" w:cs="BookAntiqua"/>
          <w:sz w:val="24"/>
          <w:szCs w:val="24"/>
          <w:lang w:val="es-PR"/>
        </w:rPr>
        <w:t xml:space="preserve">, </w:t>
      </w:r>
      <w:r w:rsidR="00863CC3" w:rsidRPr="00BC3053">
        <w:rPr>
          <w:rFonts w:ascii="Century Gothic" w:hAnsi="Century Gothic" w:cs="BookAntiqua"/>
          <w:sz w:val="24"/>
          <w:szCs w:val="24"/>
          <w:lang w:val="es-PR"/>
        </w:rPr>
        <w:t xml:space="preserve">Moción del CRIM solicitando Descalificación de Abogado, </w:t>
      </w:r>
      <w:r w:rsidR="00863CC3" w:rsidRPr="00BC3053">
        <w:rPr>
          <w:rFonts w:ascii="Century Gothic" w:hAnsi="Century Gothic" w:cs="BookAntiqua"/>
          <w:i/>
          <w:sz w:val="24"/>
          <w:szCs w:val="24"/>
          <w:lang w:val="es-PR"/>
        </w:rPr>
        <w:t>Municipio de Caguas v. AASF Sociedad Especial de Responsabilidad Limitada</w:t>
      </w:r>
      <w:r w:rsidR="00863CC3" w:rsidRPr="00BC3053">
        <w:rPr>
          <w:rFonts w:ascii="Century Gothic" w:hAnsi="Century Gothic" w:cs="BookAntiqua"/>
          <w:sz w:val="24"/>
          <w:szCs w:val="24"/>
          <w:lang w:val="es-PR"/>
        </w:rPr>
        <w:t xml:space="preserve">, Civil Núm. CG2021CV03094. </w:t>
      </w:r>
      <w:r w:rsidR="00C91DF5" w:rsidRPr="00BC3053">
        <w:rPr>
          <w:rFonts w:ascii="Century Gothic" w:hAnsi="Century Gothic" w:cs="BookAntiqua"/>
          <w:sz w:val="24"/>
          <w:szCs w:val="24"/>
          <w:lang w:val="es-PR"/>
        </w:rPr>
        <w:t>El Tribunal declaró No ha Lugar la petici</w:t>
      </w:r>
      <w:r w:rsidRPr="00BC3053">
        <w:rPr>
          <w:rFonts w:ascii="Century Gothic" w:hAnsi="Century Gothic" w:cs="BookAntiqua"/>
          <w:sz w:val="24"/>
          <w:szCs w:val="24"/>
          <w:lang w:val="es-PR"/>
        </w:rPr>
        <w:t>ón de descalificación, bajo el fundamento de</w:t>
      </w:r>
      <w:r w:rsidR="00C91DF5" w:rsidRPr="00BC3053">
        <w:rPr>
          <w:rFonts w:ascii="Century Gothic" w:hAnsi="Century Gothic" w:cs="BookAntiqua"/>
          <w:sz w:val="24"/>
          <w:szCs w:val="24"/>
          <w:lang w:val="es-PR"/>
        </w:rPr>
        <w:t xml:space="preserve"> que </w:t>
      </w:r>
      <w:r w:rsidR="0067643D" w:rsidRPr="00BC3053">
        <w:rPr>
          <w:rFonts w:ascii="Century Gothic" w:hAnsi="Century Gothic" w:cs="BookAntiqua"/>
          <w:sz w:val="24"/>
          <w:szCs w:val="24"/>
          <w:lang w:val="es-PR"/>
        </w:rPr>
        <w:t xml:space="preserve"> </w:t>
      </w:r>
      <w:r w:rsidR="00C91DF5" w:rsidRPr="00BC3053">
        <w:rPr>
          <w:rFonts w:ascii="Century Gothic" w:hAnsi="Century Gothic" w:cs="BookAntiqua"/>
          <w:sz w:val="24"/>
          <w:szCs w:val="24"/>
          <w:lang w:val="es-PR"/>
        </w:rPr>
        <w:t>accede</w:t>
      </w:r>
      <w:r w:rsidRPr="00BC3053">
        <w:rPr>
          <w:rFonts w:ascii="Century Gothic" w:hAnsi="Century Gothic" w:cs="BookAntiqua"/>
          <w:sz w:val="24"/>
          <w:szCs w:val="24"/>
          <w:lang w:val="es-PR"/>
        </w:rPr>
        <w:t>r</w:t>
      </w:r>
      <w:r w:rsidR="00C91DF5" w:rsidRPr="00BC3053">
        <w:rPr>
          <w:rFonts w:ascii="Century Gothic" w:hAnsi="Century Gothic" w:cs="BookAntiqua"/>
          <w:sz w:val="24"/>
          <w:szCs w:val="24"/>
          <w:lang w:val="es-PR"/>
        </w:rPr>
        <w:t xml:space="preserve"> al pedido del CRIM “implicaría impedir que se ejecuten las obligaciones debidamente acordadas en el contrato de servicios profesionales, o dejar sin efecto un contrato de servicios que no ha sido impugnado…”. Es decir, el Tribunal entiende que la multiplicidad de funciones de los abogados a beneficio propio no es impropia,  si fue a eso que se obligó, por ser un contrato “debidamente registrado, que se presume válido…”</w:t>
      </w:r>
      <w:r w:rsidRPr="00BC3053">
        <w:rPr>
          <w:rFonts w:ascii="Century Gothic" w:hAnsi="Century Gothic" w:cs="BookAntiqua"/>
          <w:sz w:val="24"/>
          <w:szCs w:val="24"/>
          <w:lang w:val="es-PR"/>
        </w:rPr>
        <w:t xml:space="preserve">.  En otras palabras: </w:t>
      </w:r>
      <w:r w:rsidR="0067643D" w:rsidRPr="00BC3053">
        <w:rPr>
          <w:rFonts w:ascii="Century Gothic" w:hAnsi="Century Gothic" w:cs="BookAntiqua"/>
          <w:sz w:val="24"/>
          <w:szCs w:val="24"/>
          <w:lang w:val="es-PR"/>
        </w:rPr>
        <w:t xml:space="preserve">no se puede impugnar una actuación al amparo de un contrato porque el contrato no ha sido impugnado. Bajo esa teoría, cualquier acción antiética se puede realizar impunemente, si es objeto de un contrato. </w:t>
      </w:r>
      <w:r w:rsidRPr="00BC3053">
        <w:rPr>
          <w:rFonts w:ascii="Century Gothic" w:hAnsi="Century Gothic" w:cs="BookAntiqua"/>
          <w:sz w:val="24"/>
          <w:szCs w:val="24"/>
          <w:lang w:val="es-PR"/>
        </w:rPr>
        <w:t xml:space="preserve"> Además de los preceptos éticos mencionados, la conjugación de</w:t>
      </w:r>
      <w:r w:rsidR="006A4148">
        <w:rPr>
          <w:rFonts w:ascii="Century Gothic" w:hAnsi="Century Gothic" w:cs="BookAntiqua"/>
          <w:sz w:val="24"/>
          <w:szCs w:val="24"/>
          <w:lang w:val="es-PR"/>
        </w:rPr>
        <w:t xml:space="preserve"> tareas del bufete de abogados </w:t>
      </w:r>
      <w:r w:rsidRPr="00BC3053">
        <w:rPr>
          <w:rFonts w:ascii="Century Gothic" w:hAnsi="Century Gothic" w:cs="BookAntiqua"/>
          <w:sz w:val="24"/>
          <w:szCs w:val="24"/>
          <w:lang w:val="es-PR"/>
        </w:rPr>
        <w:t xml:space="preserve">constituye una violación al </w:t>
      </w:r>
      <w:r w:rsidRPr="00BC3053">
        <w:rPr>
          <w:rFonts w:ascii="Century Gothic" w:hAnsi="Century Gothic" w:cs="Times New Roman"/>
          <w:sz w:val="24"/>
          <w:szCs w:val="24"/>
          <w:lang w:val="es-PR"/>
        </w:rPr>
        <w:t xml:space="preserve">Canon 37, que establece que “La participación del abogado en negocios o actividades de venta de bienes, agencias de cobro, fianzas u otros servicios comerciales propios o pertenecientes a otras personas no es una actividad propia de la buena práctica de la profesión si tal negocio o actividad tiene el fin directo o indirecto de proporcionarle trabajo profesional lucrativo que de otra forma el bufete no hubiese obtenido”. </w:t>
      </w:r>
      <w:r w:rsidR="00984FE5" w:rsidRPr="00BC3053">
        <w:rPr>
          <w:rFonts w:ascii="Century Gothic" w:hAnsi="Century Gothic" w:cs="Times New Roman"/>
          <w:sz w:val="24"/>
          <w:szCs w:val="24"/>
          <w:lang w:val="es-PR"/>
        </w:rPr>
        <w:t>Es necesario cuestionarse si el bufete sería contratado para llevar este tipo de casos si no manejara el programa de estorbos públicos, o si el bufete puede verse incentivado a declarar más propiedades estorbos públicos para generar más facturación por trabajo jurídico.</w:t>
      </w:r>
    </w:p>
    <w:p w14:paraId="3A70D99E" w14:textId="77777777" w:rsidR="00984FE5" w:rsidRPr="00BC3053" w:rsidRDefault="00984FE5" w:rsidP="00984FE5">
      <w:pPr>
        <w:spacing w:after="0" w:line="240" w:lineRule="auto"/>
        <w:ind w:firstLine="360"/>
        <w:jc w:val="both"/>
        <w:rPr>
          <w:rFonts w:ascii="Century Gothic" w:hAnsi="Century Gothic" w:cs="Times New Roman"/>
          <w:sz w:val="24"/>
          <w:szCs w:val="24"/>
          <w:lang w:val="es-PR"/>
        </w:rPr>
      </w:pPr>
    </w:p>
    <w:p w14:paraId="7DD27AB7" w14:textId="5B448B62" w:rsidR="00984FE5" w:rsidRPr="00BC3053" w:rsidRDefault="00984FE5" w:rsidP="00984FE5">
      <w:pPr>
        <w:spacing w:after="0" w:line="240" w:lineRule="auto"/>
        <w:ind w:firstLine="360"/>
        <w:jc w:val="both"/>
        <w:rPr>
          <w:rFonts w:ascii="Century Gothic" w:hAnsi="Century Gothic"/>
          <w:sz w:val="24"/>
          <w:szCs w:val="24"/>
          <w:lang w:val="es-PR"/>
        </w:rPr>
      </w:pPr>
      <w:r w:rsidRPr="00BC3053">
        <w:rPr>
          <w:rFonts w:ascii="Century Gothic" w:hAnsi="Century Gothic"/>
          <w:sz w:val="24"/>
          <w:szCs w:val="24"/>
          <w:lang w:val="es-PR"/>
        </w:rPr>
        <w:t xml:space="preserve">En resumen, la privatización de los procesos de declaración de estorbos públicos y de expropiación forzosa, delegando a dos compañías el poder constitucional del Estado, ha resultado en violaciones a derechos fundamentales de la ciudadanía, como el derecho a la propiedad privada, al debido proceso de ley y a la justa compensación en casos de expropiación.  Con el conocimiento y consentimiento de administraciones municipales, han declarado estorbos públicos a numerosas propiedades con estrategias turbias; han prometido la venta de inmuebles sin facultad ni posibilidad de concluir el negocio; han depositado fondos públicos en cuentas privadas y se han negado a devolverlo a sus legítimos dueños; han retenido expedientes propiedad de municipios y le han negado información pública a ciudadanos; han conculcado las facultades del CRIM y han violentado preceptos éticos. </w:t>
      </w:r>
    </w:p>
    <w:p w14:paraId="6FA4157A" w14:textId="77777777" w:rsidR="00984FE5" w:rsidRPr="00BC3053" w:rsidRDefault="00984FE5" w:rsidP="00984FE5">
      <w:pPr>
        <w:spacing w:after="0" w:line="240" w:lineRule="auto"/>
        <w:ind w:firstLine="360"/>
        <w:jc w:val="both"/>
        <w:rPr>
          <w:rFonts w:ascii="Century Gothic" w:hAnsi="Century Gothic" w:cs="Times New Roman"/>
          <w:sz w:val="24"/>
          <w:szCs w:val="24"/>
          <w:lang w:val="es-PR"/>
        </w:rPr>
      </w:pPr>
    </w:p>
    <w:p w14:paraId="7587FB1C" w14:textId="751EF77E" w:rsidR="00984FE5" w:rsidRPr="00BC3053" w:rsidRDefault="00984FE5" w:rsidP="00984FE5">
      <w:pPr>
        <w:spacing w:after="0" w:line="240" w:lineRule="auto"/>
        <w:ind w:firstLine="360"/>
        <w:jc w:val="both"/>
        <w:rPr>
          <w:rFonts w:ascii="Century Gothic" w:hAnsi="Century Gothic" w:cs="Times New Roman"/>
          <w:sz w:val="24"/>
          <w:szCs w:val="24"/>
          <w:lang w:val="es-PR"/>
        </w:rPr>
      </w:pPr>
      <w:r w:rsidRPr="00BC3053">
        <w:rPr>
          <w:rFonts w:ascii="Century Gothic" w:hAnsi="Century Gothic" w:cs="BookAntiqua"/>
          <w:sz w:val="24"/>
          <w:szCs w:val="24"/>
          <w:lang w:val="es-PR"/>
        </w:rPr>
        <w:t>Además, los</w:t>
      </w:r>
      <w:r w:rsidR="00266C36" w:rsidRPr="00BC3053">
        <w:rPr>
          <w:rFonts w:ascii="Century Gothic" w:hAnsi="Century Gothic" w:cs="BookAntiqua"/>
          <w:sz w:val="24"/>
          <w:szCs w:val="24"/>
          <w:lang w:val="es-PR"/>
        </w:rPr>
        <w:t xml:space="preserve"> contratos privatizadores tienen otras irregularidades, como </w:t>
      </w:r>
      <w:r w:rsidR="00BD71F6" w:rsidRPr="00BC3053">
        <w:rPr>
          <w:rFonts w:ascii="Century Gothic" w:hAnsi="Century Gothic"/>
          <w:sz w:val="24"/>
          <w:szCs w:val="24"/>
          <w:lang w:val="es-PR"/>
        </w:rPr>
        <w:t>cláusula</w:t>
      </w:r>
      <w:r w:rsidR="00266C36" w:rsidRPr="00BC3053">
        <w:rPr>
          <w:rFonts w:ascii="Century Gothic" w:hAnsi="Century Gothic"/>
          <w:sz w:val="24"/>
          <w:szCs w:val="24"/>
          <w:lang w:val="es-PR"/>
        </w:rPr>
        <w:t>s</w:t>
      </w:r>
      <w:r w:rsidR="00BD71F6" w:rsidRPr="00BC3053">
        <w:rPr>
          <w:rFonts w:ascii="Century Gothic" w:hAnsi="Century Gothic"/>
          <w:sz w:val="24"/>
          <w:szCs w:val="24"/>
          <w:lang w:val="es-PR"/>
        </w:rPr>
        <w:t xml:space="preserve"> de ren</w:t>
      </w:r>
      <w:r w:rsidR="00555EB8" w:rsidRPr="00BC3053">
        <w:rPr>
          <w:rFonts w:ascii="Century Gothic" w:hAnsi="Century Gothic"/>
          <w:sz w:val="24"/>
          <w:szCs w:val="24"/>
          <w:lang w:val="es-PR"/>
        </w:rPr>
        <w:t>ovación automática o tácita reconducci</w:t>
      </w:r>
      <w:r w:rsidR="00555EB8" w:rsidRPr="00BC3053">
        <w:rPr>
          <w:rFonts w:ascii="Century Gothic" w:hAnsi="Century Gothic" w:cs="Times New Roman"/>
          <w:sz w:val="24"/>
          <w:szCs w:val="24"/>
          <w:lang w:val="es-PR"/>
        </w:rPr>
        <w:t>ón</w:t>
      </w:r>
      <w:r w:rsidR="00266C36" w:rsidRPr="00BC3053">
        <w:rPr>
          <w:rFonts w:ascii="Century Gothic" w:hAnsi="Century Gothic" w:cs="Times New Roman"/>
          <w:sz w:val="24"/>
          <w:szCs w:val="24"/>
          <w:lang w:val="es-PR"/>
        </w:rPr>
        <w:t xml:space="preserve">; falta de identificación de  las </w:t>
      </w:r>
      <w:r w:rsidR="00B449FB" w:rsidRPr="00BC3053">
        <w:rPr>
          <w:rFonts w:ascii="Century Gothic" w:hAnsi="Century Gothic"/>
          <w:sz w:val="24"/>
          <w:szCs w:val="24"/>
          <w:lang w:val="es-PR"/>
        </w:rPr>
        <w:t>partida</w:t>
      </w:r>
      <w:r w:rsidR="00266C36" w:rsidRPr="00BC3053">
        <w:rPr>
          <w:rFonts w:ascii="Century Gothic" w:hAnsi="Century Gothic"/>
          <w:sz w:val="24"/>
          <w:szCs w:val="24"/>
          <w:lang w:val="es-PR"/>
        </w:rPr>
        <w:t>s</w:t>
      </w:r>
      <w:r w:rsidR="00B449FB" w:rsidRPr="00BC3053">
        <w:rPr>
          <w:rFonts w:ascii="Century Gothic" w:hAnsi="Century Gothic"/>
          <w:sz w:val="24"/>
          <w:szCs w:val="24"/>
          <w:lang w:val="es-PR"/>
        </w:rPr>
        <w:t xml:space="preserve"> presupuestaria que sufragará</w:t>
      </w:r>
      <w:r w:rsidR="00266C36" w:rsidRPr="00BC3053">
        <w:rPr>
          <w:rFonts w:ascii="Century Gothic" w:hAnsi="Century Gothic"/>
          <w:sz w:val="24"/>
          <w:szCs w:val="24"/>
          <w:lang w:val="es-PR"/>
        </w:rPr>
        <w:t>n</w:t>
      </w:r>
      <w:r w:rsidR="00B449FB" w:rsidRPr="00BC3053">
        <w:rPr>
          <w:rFonts w:ascii="Century Gothic" w:hAnsi="Century Gothic"/>
          <w:sz w:val="24"/>
          <w:szCs w:val="24"/>
          <w:lang w:val="es-PR"/>
        </w:rPr>
        <w:t xml:space="preserve"> el contrato</w:t>
      </w:r>
      <w:r w:rsidR="00266C36" w:rsidRPr="00BC3053">
        <w:rPr>
          <w:rFonts w:ascii="Century Gothic" w:hAnsi="Century Gothic" w:cs="Times New Roman"/>
          <w:sz w:val="24"/>
          <w:szCs w:val="24"/>
          <w:lang w:val="es-PR"/>
        </w:rPr>
        <w:t xml:space="preserve">, falta de </w:t>
      </w:r>
      <w:r w:rsidR="00266C36" w:rsidRPr="00BC3053">
        <w:rPr>
          <w:rFonts w:ascii="Century Gothic" w:hAnsi="Century Gothic" w:cs="Times New Roman"/>
          <w:sz w:val="24"/>
          <w:szCs w:val="24"/>
          <w:lang w:val="es-PR"/>
        </w:rPr>
        <w:lastRenderedPageBreak/>
        <w:t>controles fiscalizadores y prohibiciones de cancelación del contrato, que pudieran violentar el Artículo 2.014 del Código Municipal.  Las prácticas irregulares de las privatizadoras, como se ha visto, han forzado a los municipios a comparece</w:t>
      </w:r>
      <w:r w:rsidRPr="00BC3053">
        <w:rPr>
          <w:rFonts w:ascii="Century Gothic" w:hAnsi="Century Gothic" w:cs="Times New Roman"/>
          <w:sz w:val="24"/>
          <w:szCs w:val="24"/>
          <w:lang w:val="es-PR"/>
        </w:rPr>
        <w:t>r</w:t>
      </w:r>
      <w:r w:rsidR="006A4148">
        <w:rPr>
          <w:rFonts w:ascii="Century Gothic" w:hAnsi="Century Gothic" w:cs="Times New Roman"/>
          <w:sz w:val="24"/>
          <w:szCs w:val="24"/>
          <w:lang w:val="es-PR"/>
        </w:rPr>
        <w:t xml:space="preserve"> en numerosos litigios, lo que ha i</w:t>
      </w:r>
      <w:r w:rsidRPr="00BC3053">
        <w:rPr>
          <w:rFonts w:ascii="Century Gothic" w:hAnsi="Century Gothic" w:cs="Times New Roman"/>
          <w:sz w:val="24"/>
          <w:szCs w:val="24"/>
          <w:lang w:val="es-PR"/>
        </w:rPr>
        <w:t xml:space="preserve">mplicado gastos públicos. </w:t>
      </w:r>
      <w:r w:rsidRPr="00BC3053">
        <w:rPr>
          <w:rFonts w:ascii="Century Gothic" w:hAnsi="Century Gothic" w:cs="BookAntiqua"/>
          <w:sz w:val="24"/>
          <w:szCs w:val="24"/>
          <w:lang w:val="es-PR"/>
        </w:rPr>
        <w:t xml:space="preserve">Es probable además que los actos y omisiones aquí </w:t>
      </w:r>
      <w:proofErr w:type="gramStart"/>
      <w:r w:rsidRPr="00BC3053">
        <w:rPr>
          <w:rFonts w:ascii="Century Gothic" w:hAnsi="Century Gothic" w:cs="BookAntiqua"/>
          <w:sz w:val="24"/>
          <w:szCs w:val="24"/>
          <w:lang w:val="es-PR"/>
        </w:rPr>
        <w:t>reseñados</w:t>
      </w:r>
      <w:proofErr w:type="gramEnd"/>
      <w:r w:rsidRPr="00BC3053">
        <w:rPr>
          <w:rFonts w:ascii="Century Gothic" w:hAnsi="Century Gothic" w:cs="BookAntiqua"/>
          <w:sz w:val="24"/>
          <w:szCs w:val="24"/>
          <w:lang w:val="es-PR"/>
        </w:rPr>
        <w:t>,  y otros que eventualmente se revelen, puedan constituir violaciones a otras leyes, reglamentos y ordenanzas no mencionadas específicamente en este referido, pero cuya infracción debe ser igualmente investigada y procesada p</w:t>
      </w:r>
      <w:r w:rsidR="006A4148">
        <w:rPr>
          <w:rFonts w:ascii="Century Gothic" w:hAnsi="Century Gothic" w:cs="BookAntiqua"/>
          <w:sz w:val="24"/>
          <w:szCs w:val="24"/>
          <w:lang w:val="es-PR"/>
        </w:rPr>
        <w:t>or el Departamento de Justicia y la Oficina de la Contralora.</w:t>
      </w:r>
    </w:p>
    <w:p w14:paraId="24970C29" w14:textId="77777777" w:rsidR="00984FE5" w:rsidRPr="00BC3053" w:rsidRDefault="00984FE5" w:rsidP="00984FE5">
      <w:pPr>
        <w:ind w:firstLine="360"/>
        <w:jc w:val="both"/>
        <w:rPr>
          <w:rFonts w:ascii="Century Gothic" w:hAnsi="Century Gothic" w:cs="BookAntiqua"/>
          <w:sz w:val="24"/>
          <w:szCs w:val="24"/>
          <w:lang w:val="es-PR"/>
        </w:rPr>
      </w:pPr>
    </w:p>
    <w:p w14:paraId="2FF76146" w14:textId="141F647B" w:rsidR="0061117B" w:rsidRPr="00BC3053" w:rsidRDefault="00984FE5" w:rsidP="00984FE5">
      <w:pPr>
        <w:ind w:firstLine="360"/>
        <w:jc w:val="both"/>
        <w:rPr>
          <w:rFonts w:ascii="Century Gothic" w:hAnsi="Century Gothic" w:cs="BookAntiqua"/>
          <w:sz w:val="24"/>
          <w:szCs w:val="24"/>
          <w:lang w:val="es-PR"/>
        </w:rPr>
      </w:pPr>
      <w:r w:rsidRPr="00BC3053">
        <w:rPr>
          <w:rFonts w:ascii="Century Gothic" w:hAnsi="Century Gothic" w:cs="BookAntiqua"/>
          <w:sz w:val="24"/>
          <w:szCs w:val="24"/>
          <w:lang w:val="es-PR"/>
        </w:rPr>
        <w:t xml:space="preserve">Otras conductas impropias que pueden o no configurar delito deben ser objeto de examen de la Oficina de la Contralora y de las otras entidades a las que se envía copia de este referido.  Considérese, por ejemplo, que si varias de las acciones que realizan las privatizadoras en su carácter de agentes de los municipios hubieran sido realizadas por empleados públicos, constituirían delitos en la función pública, como malversación de fondos públicos o negligencia en el cumplimiento del deber.  Debe examinarse con detenimiento cuántas de las tareas por las que se cobraron y pagaron facturas de $10,000 en el caso de Francis y </w:t>
      </w:r>
      <w:proofErr w:type="spellStart"/>
      <w:r w:rsidRPr="00BC3053">
        <w:rPr>
          <w:rFonts w:ascii="Century Gothic" w:hAnsi="Century Gothic" w:cs="BookAntiqua"/>
          <w:sz w:val="24"/>
          <w:szCs w:val="24"/>
          <w:lang w:val="es-PR"/>
        </w:rPr>
        <w:t>Gueits</w:t>
      </w:r>
      <w:proofErr w:type="spellEnd"/>
      <w:r w:rsidRPr="00BC3053">
        <w:rPr>
          <w:rFonts w:ascii="Century Gothic" w:hAnsi="Century Gothic" w:cs="BookAntiqua"/>
          <w:sz w:val="24"/>
          <w:szCs w:val="24"/>
          <w:lang w:val="es-PR"/>
        </w:rPr>
        <w:t xml:space="preserve"> y $25, 990 en el caso de Universal de verdad se realizaron, y cuánto se han apartado del debido proceso de ley y de la política pública los procedimientos en manos de esas compañías para la declaración de estorbos públicos y expropiaciones forzosas. </w:t>
      </w:r>
    </w:p>
    <w:p w14:paraId="7727464B" w14:textId="4175A0C4" w:rsidR="00984FE5" w:rsidRPr="00BC3053" w:rsidRDefault="00984FE5" w:rsidP="00984FE5">
      <w:pPr>
        <w:jc w:val="both"/>
        <w:rPr>
          <w:rFonts w:ascii="Century Gothic" w:hAnsi="Century Gothic" w:cs="BookAntiqua"/>
          <w:sz w:val="24"/>
          <w:szCs w:val="24"/>
          <w:lang w:val="es-PR"/>
        </w:rPr>
      </w:pPr>
      <w:r w:rsidRPr="00BC3053">
        <w:rPr>
          <w:rFonts w:ascii="Century Gothic" w:hAnsi="Century Gothic" w:cs="BookAntiqua"/>
          <w:sz w:val="24"/>
          <w:szCs w:val="24"/>
          <w:lang w:val="es-PR"/>
        </w:rPr>
        <w:tab/>
        <w:t>Con la investigación que aquí presentamos y el referido que sometemos a su consideración, cumplimos nuestra responsabilidad como legisladores. Está en sus manos el curso que este asunto debe tomar.</w:t>
      </w:r>
    </w:p>
    <w:p w14:paraId="1BB67365" w14:textId="77777777" w:rsidR="00984FE5" w:rsidRPr="00BC3053" w:rsidRDefault="00984FE5" w:rsidP="00984FE5">
      <w:pPr>
        <w:jc w:val="both"/>
        <w:rPr>
          <w:rFonts w:ascii="Century Gothic" w:hAnsi="Century Gothic" w:cs="BookAntiqua"/>
          <w:sz w:val="24"/>
          <w:szCs w:val="24"/>
          <w:lang w:val="es-PR"/>
        </w:rPr>
      </w:pPr>
    </w:p>
    <w:p w14:paraId="2D02EF2D" w14:textId="31E88191" w:rsidR="00984FE5" w:rsidRPr="00BC3053" w:rsidRDefault="00984FE5" w:rsidP="00984FE5">
      <w:pPr>
        <w:jc w:val="both"/>
        <w:rPr>
          <w:rFonts w:ascii="Century Gothic" w:hAnsi="Century Gothic" w:cs="BookAntiqua"/>
          <w:sz w:val="24"/>
          <w:szCs w:val="24"/>
          <w:lang w:val="es-PR"/>
        </w:rPr>
      </w:pPr>
      <w:r w:rsidRPr="00BC3053">
        <w:rPr>
          <w:rFonts w:ascii="Century Gothic" w:hAnsi="Century Gothic" w:cs="BookAntiqua"/>
          <w:sz w:val="24"/>
          <w:szCs w:val="24"/>
          <w:lang w:val="es-PR"/>
        </w:rPr>
        <w:tab/>
        <w:t>Atentamente,</w:t>
      </w:r>
      <w:bookmarkStart w:id="0" w:name="_GoBack"/>
      <w:bookmarkEnd w:id="0"/>
    </w:p>
    <w:p w14:paraId="28109553" w14:textId="77777777" w:rsidR="00984FE5" w:rsidRPr="00BC3053" w:rsidRDefault="00984FE5" w:rsidP="00984FE5">
      <w:pPr>
        <w:jc w:val="both"/>
        <w:rPr>
          <w:rFonts w:ascii="Century Gothic" w:hAnsi="Century Gothic" w:cs="BookAntiqua"/>
          <w:sz w:val="24"/>
          <w:szCs w:val="24"/>
          <w:lang w:val="es-PR"/>
        </w:rPr>
      </w:pPr>
    </w:p>
    <w:p w14:paraId="1F3D58DC" w14:textId="3FFCFAC3" w:rsidR="00984FE5" w:rsidRPr="00BC3053" w:rsidRDefault="00984FE5" w:rsidP="00984FE5">
      <w:pPr>
        <w:spacing w:after="0" w:line="240" w:lineRule="auto"/>
        <w:jc w:val="both"/>
        <w:rPr>
          <w:rFonts w:ascii="Century Gothic" w:hAnsi="Century Gothic" w:cs="BookAntiqua"/>
          <w:sz w:val="24"/>
          <w:szCs w:val="24"/>
          <w:lang w:val="es-PR"/>
        </w:rPr>
      </w:pPr>
      <w:r w:rsidRPr="00BC3053">
        <w:rPr>
          <w:rFonts w:ascii="Century Gothic" w:hAnsi="Century Gothic" w:cs="BookAntiqua"/>
          <w:sz w:val="24"/>
          <w:szCs w:val="24"/>
          <w:lang w:val="es-PR"/>
        </w:rPr>
        <w:t>__________________                                                ___________________</w:t>
      </w:r>
    </w:p>
    <w:p w14:paraId="0F86C33F" w14:textId="441935AC" w:rsidR="00984FE5" w:rsidRPr="00BC3053" w:rsidRDefault="00984FE5" w:rsidP="00984FE5">
      <w:pPr>
        <w:spacing w:after="0" w:line="240" w:lineRule="auto"/>
        <w:jc w:val="both"/>
        <w:rPr>
          <w:rFonts w:ascii="Century Gothic" w:hAnsi="Century Gothic" w:cs="BookAntiqua"/>
          <w:sz w:val="24"/>
          <w:szCs w:val="24"/>
          <w:lang w:val="es-PR"/>
        </w:rPr>
      </w:pPr>
      <w:r w:rsidRPr="00BC3053">
        <w:rPr>
          <w:rFonts w:ascii="Century Gothic" w:hAnsi="Century Gothic" w:cs="BookAntiqua"/>
          <w:sz w:val="24"/>
          <w:szCs w:val="24"/>
          <w:lang w:val="es-PR"/>
        </w:rPr>
        <w:t>María de Lourdes Santiago                                 Denis Márquez</w:t>
      </w:r>
    </w:p>
    <w:p w14:paraId="5B880C5D" w14:textId="77777777" w:rsidR="00984FE5" w:rsidRPr="00BC3053" w:rsidRDefault="00984FE5" w:rsidP="00984FE5">
      <w:pPr>
        <w:spacing w:after="0" w:line="240" w:lineRule="auto"/>
        <w:jc w:val="both"/>
        <w:rPr>
          <w:rFonts w:ascii="Century Gothic" w:hAnsi="Century Gothic" w:cs="BookAntiqua"/>
          <w:sz w:val="24"/>
          <w:szCs w:val="24"/>
          <w:lang w:val="es-PR"/>
        </w:rPr>
      </w:pPr>
      <w:r w:rsidRPr="00BC3053">
        <w:rPr>
          <w:rFonts w:ascii="Century Gothic" w:hAnsi="Century Gothic" w:cs="BookAntiqua"/>
          <w:sz w:val="24"/>
          <w:szCs w:val="24"/>
          <w:lang w:val="es-PR"/>
        </w:rPr>
        <w:t>Senadora                                                               Representante</w:t>
      </w:r>
    </w:p>
    <w:p w14:paraId="342071BB" w14:textId="77777777" w:rsidR="00984FE5" w:rsidRPr="00BC3053" w:rsidRDefault="00984FE5" w:rsidP="00984FE5">
      <w:pPr>
        <w:spacing w:after="0" w:line="240" w:lineRule="auto"/>
        <w:jc w:val="both"/>
        <w:rPr>
          <w:rFonts w:ascii="Century Gothic" w:hAnsi="Century Gothic" w:cs="BookAntiqua"/>
          <w:sz w:val="24"/>
          <w:szCs w:val="24"/>
          <w:lang w:val="es-PR"/>
        </w:rPr>
      </w:pPr>
    </w:p>
    <w:p w14:paraId="162CDEDB" w14:textId="0D4F3E94" w:rsidR="00984FE5" w:rsidRPr="00BC3053" w:rsidRDefault="00984FE5" w:rsidP="00984FE5">
      <w:pPr>
        <w:spacing w:after="0" w:line="240" w:lineRule="auto"/>
        <w:jc w:val="center"/>
        <w:rPr>
          <w:rFonts w:ascii="Century Gothic" w:hAnsi="Century Gothic" w:cs="BookAntiqua"/>
          <w:sz w:val="24"/>
          <w:szCs w:val="24"/>
          <w:lang w:val="es-PR"/>
        </w:rPr>
      </w:pPr>
      <w:r w:rsidRPr="00BC3053">
        <w:rPr>
          <w:rFonts w:ascii="Century Gothic" w:hAnsi="Century Gothic" w:cs="BookAntiqua"/>
          <w:sz w:val="24"/>
          <w:szCs w:val="24"/>
          <w:lang w:val="es-PR"/>
        </w:rPr>
        <w:t>Partido Independentista Puertorriqueño</w:t>
      </w:r>
    </w:p>
    <w:p w14:paraId="405B9A4D" w14:textId="77777777" w:rsidR="0061117B" w:rsidRPr="00BC3053" w:rsidRDefault="0061117B" w:rsidP="0061117B">
      <w:pPr>
        <w:spacing w:after="0" w:line="240" w:lineRule="auto"/>
        <w:ind w:firstLine="360"/>
        <w:jc w:val="both"/>
        <w:rPr>
          <w:rFonts w:ascii="Century Gothic" w:hAnsi="Century Gothic"/>
          <w:sz w:val="24"/>
          <w:szCs w:val="24"/>
          <w:highlight w:val="yellow"/>
          <w:lang w:val="es-PR"/>
        </w:rPr>
      </w:pPr>
    </w:p>
    <w:p w14:paraId="153B5255" w14:textId="51BA3B56" w:rsidR="0061117B" w:rsidRPr="00BC3053" w:rsidRDefault="0061117B" w:rsidP="00984FE5">
      <w:pPr>
        <w:spacing w:after="0" w:line="240" w:lineRule="auto"/>
        <w:jc w:val="both"/>
        <w:rPr>
          <w:rFonts w:ascii="Century Gothic" w:hAnsi="Century Gothic"/>
          <w:sz w:val="24"/>
          <w:szCs w:val="24"/>
          <w:lang w:val="es-PR"/>
        </w:rPr>
      </w:pPr>
    </w:p>
    <w:p w14:paraId="1FD2344A" w14:textId="77777777" w:rsidR="0061117B" w:rsidRPr="00BC3053" w:rsidRDefault="0061117B" w:rsidP="0061117B">
      <w:pPr>
        <w:spacing w:after="0" w:line="240" w:lineRule="auto"/>
        <w:ind w:left="360"/>
        <w:jc w:val="both"/>
        <w:rPr>
          <w:rFonts w:ascii="Century Gothic" w:hAnsi="Century Gothic" w:cs="Times New Roman"/>
          <w:sz w:val="24"/>
          <w:szCs w:val="24"/>
          <w:lang w:val="es-PR"/>
        </w:rPr>
      </w:pPr>
    </w:p>
    <w:sectPr w:rsidR="0061117B" w:rsidRPr="00BC3053" w:rsidSect="00B3642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05658" w14:textId="77777777" w:rsidR="00140388" w:rsidRDefault="00140388" w:rsidP="004955F6">
      <w:pPr>
        <w:spacing w:after="0" w:line="240" w:lineRule="auto"/>
      </w:pPr>
      <w:r>
        <w:separator/>
      </w:r>
    </w:p>
  </w:endnote>
  <w:endnote w:type="continuationSeparator" w:id="0">
    <w:p w14:paraId="088F13E8" w14:textId="77777777" w:rsidR="00140388" w:rsidRDefault="00140388" w:rsidP="0049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Antiqu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17416"/>
      <w:docPartObj>
        <w:docPartGallery w:val="Page Numbers (Bottom of Page)"/>
        <w:docPartUnique/>
      </w:docPartObj>
    </w:sdtPr>
    <w:sdtEndPr>
      <w:rPr>
        <w:noProof/>
      </w:rPr>
    </w:sdtEndPr>
    <w:sdtContent>
      <w:p w14:paraId="2D6A52BB" w14:textId="02B5A879" w:rsidR="00157A32" w:rsidRDefault="00157A32">
        <w:pPr>
          <w:pStyle w:val="Footer"/>
          <w:jc w:val="center"/>
        </w:pPr>
        <w:r>
          <w:fldChar w:fldCharType="begin"/>
        </w:r>
        <w:r>
          <w:instrText xml:space="preserve"> PAGE   \* MERGEFORMAT </w:instrText>
        </w:r>
        <w:r>
          <w:fldChar w:fldCharType="separate"/>
        </w:r>
        <w:r w:rsidR="00330B78">
          <w:rPr>
            <w:noProof/>
          </w:rPr>
          <w:t>17</w:t>
        </w:r>
        <w:r>
          <w:rPr>
            <w:noProof/>
          </w:rPr>
          <w:fldChar w:fldCharType="end"/>
        </w:r>
      </w:p>
    </w:sdtContent>
  </w:sdt>
  <w:p w14:paraId="6E8CDDDA" w14:textId="77777777" w:rsidR="00157A32" w:rsidRDefault="00157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329267"/>
      <w:docPartObj>
        <w:docPartGallery w:val="Page Numbers (Bottom of Page)"/>
        <w:docPartUnique/>
      </w:docPartObj>
    </w:sdtPr>
    <w:sdtEndPr>
      <w:rPr>
        <w:noProof/>
      </w:rPr>
    </w:sdtEndPr>
    <w:sdtContent>
      <w:p w14:paraId="39464DFD" w14:textId="522DB2B3" w:rsidR="00E63B28" w:rsidRDefault="00E63B28">
        <w:pPr>
          <w:pStyle w:val="Footer"/>
          <w:jc w:val="center"/>
        </w:pPr>
        <w:r w:rsidRPr="00157A32">
          <w:rPr>
            <w:rFonts w:ascii="Century Gothic" w:hAnsi="Century Gothic"/>
          </w:rPr>
          <w:fldChar w:fldCharType="begin"/>
        </w:r>
        <w:r w:rsidRPr="00157A32">
          <w:rPr>
            <w:rFonts w:ascii="Century Gothic" w:hAnsi="Century Gothic"/>
          </w:rPr>
          <w:instrText xml:space="preserve"> PAGE   \* MERGEFORMAT </w:instrText>
        </w:r>
        <w:r w:rsidRPr="00157A32">
          <w:rPr>
            <w:rFonts w:ascii="Century Gothic" w:hAnsi="Century Gothic"/>
          </w:rPr>
          <w:fldChar w:fldCharType="separate"/>
        </w:r>
        <w:r w:rsidR="00330B78">
          <w:rPr>
            <w:rFonts w:ascii="Century Gothic" w:hAnsi="Century Gothic"/>
            <w:noProof/>
          </w:rPr>
          <w:t>1</w:t>
        </w:r>
        <w:r w:rsidRPr="00157A32">
          <w:rPr>
            <w:rFonts w:ascii="Century Gothic" w:hAnsi="Century Gothic"/>
            <w:noProof/>
          </w:rPr>
          <w:fldChar w:fldCharType="end"/>
        </w:r>
      </w:p>
    </w:sdtContent>
  </w:sdt>
  <w:p w14:paraId="6B34A1A7" w14:textId="77777777" w:rsidR="002F6F09" w:rsidRDefault="002F6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0E3B" w14:textId="77777777" w:rsidR="00140388" w:rsidRDefault="00140388" w:rsidP="004955F6">
      <w:pPr>
        <w:spacing w:after="0" w:line="240" w:lineRule="auto"/>
      </w:pPr>
      <w:r>
        <w:separator/>
      </w:r>
    </w:p>
  </w:footnote>
  <w:footnote w:type="continuationSeparator" w:id="0">
    <w:p w14:paraId="32BC1344" w14:textId="77777777" w:rsidR="00140388" w:rsidRDefault="00140388" w:rsidP="004955F6">
      <w:pPr>
        <w:spacing w:after="0" w:line="240" w:lineRule="auto"/>
      </w:pPr>
      <w:r>
        <w:continuationSeparator/>
      </w:r>
    </w:p>
  </w:footnote>
  <w:footnote w:id="1">
    <w:p w14:paraId="788E837C" w14:textId="348E0F55" w:rsidR="00812EF1" w:rsidRPr="00812EF1" w:rsidRDefault="00812EF1">
      <w:pPr>
        <w:pStyle w:val="FootnoteText"/>
        <w:rPr>
          <w:lang w:val="es-PR"/>
        </w:rPr>
      </w:pPr>
      <w:r>
        <w:rPr>
          <w:rStyle w:val="FootnoteReference"/>
        </w:rPr>
        <w:footnoteRef/>
      </w:r>
      <w:r>
        <w:rPr>
          <w:rStyle w:val="FootnoteReference"/>
        </w:rPr>
        <w:footnoteRef/>
      </w:r>
      <w:r w:rsidRPr="00812EF1">
        <w:rPr>
          <w:lang w:val="es-PR"/>
        </w:rPr>
        <w:t xml:space="preserve"> </w:t>
      </w:r>
      <w:r>
        <w:rPr>
          <w:lang w:val="es-PR"/>
        </w:rPr>
        <w:t xml:space="preserve">El 30 de enero de 2023 se presentó la Resolución del Senado 730, de la autoría de la Senadora María de Lourdes Santiago, y suscrita por varias legisladoras, para atender este asunto, pero a estas fechas no ha sido considerada. </w:t>
      </w:r>
    </w:p>
  </w:footnote>
  <w:footnote w:id="2">
    <w:p w14:paraId="4B1B4CFE" w14:textId="565DF24E" w:rsidR="00012DEC" w:rsidRPr="00012DEC" w:rsidRDefault="00012DEC">
      <w:pPr>
        <w:pStyle w:val="FootnoteText"/>
        <w:rPr>
          <w:lang w:val="es-PR"/>
        </w:rPr>
      </w:pPr>
      <w:r>
        <w:rPr>
          <w:rStyle w:val="FootnoteReference"/>
        </w:rPr>
        <w:footnoteRef/>
      </w:r>
      <w:r w:rsidRPr="00012DEC">
        <w:rPr>
          <w:lang w:val="es-PR"/>
        </w:rPr>
        <w:t xml:space="preserve"> </w:t>
      </w:r>
      <w:r>
        <w:rPr>
          <w:lang w:val="es-PR"/>
        </w:rPr>
        <w:t>Ver Ley General de Expropiación Forzosa, 32 LPRA 2901-2913; Reglas 58 y 60 de Procedimiento Civil</w:t>
      </w:r>
    </w:p>
  </w:footnote>
  <w:footnote w:id="3">
    <w:p w14:paraId="742DB2EA" w14:textId="1E7BE1F2" w:rsidR="00AE61C2" w:rsidRPr="00AE61C2" w:rsidRDefault="00AE61C2">
      <w:pPr>
        <w:pStyle w:val="FootnoteText"/>
        <w:rPr>
          <w:lang w:val="es-PR"/>
        </w:rPr>
      </w:pPr>
      <w:r>
        <w:rPr>
          <w:rStyle w:val="FootnoteReference"/>
        </w:rPr>
        <w:footnoteRef/>
      </w:r>
      <w:r w:rsidRPr="00AE61C2">
        <w:rPr>
          <w:lang w:val="es-PR"/>
        </w:rPr>
        <w:t xml:space="preserve"> </w:t>
      </w:r>
      <w:r>
        <w:rPr>
          <w:lang w:val="es-PR"/>
        </w:rPr>
        <w:t>Esta es una disposición simi</w:t>
      </w:r>
      <w:r w:rsidR="00BA0688">
        <w:rPr>
          <w:lang w:val="es-PR"/>
        </w:rPr>
        <w:t xml:space="preserve">lar a la de la sección 5(a) (5), </w:t>
      </w:r>
      <w:r>
        <w:rPr>
          <w:lang w:val="es-PR"/>
        </w:rPr>
        <w:t xml:space="preserve">32 LPRA 2907, de la Ley General de Expropiación Forzosa: “Disponiéndose que en el caso de aquellas propiedades que </w:t>
      </w:r>
      <w:r w:rsidRPr="00AE61C2">
        <w:rPr>
          <w:b/>
          <w:lang w:val="es-PR"/>
        </w:rPr>
        <w:t>hayan sido declaradas estorbos públicos, y sean objeto de expropiación por motivo de utilidad pública</w:t>
      </w:r>
      <w:r>
        <w:rPr>
          <w:lang w:val="es-PR"/>
        </w:rPr>
        <w:t xml:space="preserve">, y las mismas deban alguna cantidad por concepto de contribución sobre la propiedad inmueble…la suma de dinero como justa compensación será el valor de tasación menos las deudas por contribución…”. Énfasis suplido. </w:t>
      </w:r>
    </w:p>
  </w:footnote>
  <w:footnote w:id="4">
    <w:p w14:paraId="6E5E0419" w14:textId="25045F55" w:rsidR="00341848" w:rsidRPr="00341848" w:rsidRDefault="00341848">
      <w:pPr>
        <w:pStyle w:val="FootnoteText"/>
        <w:rPr>
          <w:lang w:val="es-PR"/>
        </w:rPr>
      </w:pPr>
      <w:r>
        <w:rPr>
          <w:rStyle w:val="FootnoteReference"/>
        </w:rPr>
        <w:footnoteRef/>
      </w:r>
      <w:r w:rsidRPr="00341848">
        <w:rPr>
          <w:lang w:val="es-PR"/>
        </w:rPr>
        <w:t xml:space="preserve"> </w:t>
      </w:r>
      <w:r w:rsidR="00680E6A">
        <w:rPr>
          <w:lang w:val="es-PR"/>
        </w:rPr>
        <w:t>Nuestro interés en esta investigación surgió precisamente, cuando en</w:t>
      </w:r>
      <w:r>
        <w:rPr>
          <w:lang w:val="es-PR"/>
        </w:rPr>
        <w:t xml:space="preserve"> vistas públicas ante el Senado de Puerto Rico, </w:t>
      </w:r>
      <w:r w:rsidR="00680E6A">
        <w:rPr>
          <w:lang w:val="es-PR"/>
        </w:rPr>
        <w:t>personal del CRIM manifestó</w:t>
      </w:r>
      <w:r>
        <w:rPr>
          <w:lang w:val="es-PR"/>
        </w:rPr>
        <w:t xml:space="preserve"> sus sospechas </w:t>
      </w:r>
      <w:r w:rsidR="00B21AA8">
        <w:rPr>
          <w:lang w:val="es-PR"/>
        </w:rPr>
        <w:t xml:space="preserve">sobre el </w:t>
      </w:r>
      <w:r w:rsidR="00680E6A">
        <w:rPr>
          <w:lang w:val="es-PR"/>
        </w:rPr>
        <w:t xml:space="preserve">cobro de esos costos, gestionado mediante facturas idénticas para todo tipo de propiedad. </w:t>
      </w:r>
    </w:p>
  </w:footnote>
  <w:footnote w:id="5">
    <w:p w14:paraId="41224AB4" w14:textId="3273B39F" w:rsidR="009D38A8" w:rsidRPr="009D38A8" w:rsidRDefault="009D38A8">
      <w:pPr>
        <w:pStyle w:val="FootnoteText"/>
        <w:rPr>
          <w:lang w:val="es-PR"/>
        </w:rPr>
      </w:pPr>
      <w:r>
        <w:rPr>
          <w:rStyle w:val="FootnoteReference"/>
        </w:rPr>
        <w:footnoteRef/>
      </w:r>
      <w:r w:rsidRPr="009D38A8">
        <w:rPr>
          <w:lang w:val="es-PR"/>
        </w:rPr>
        <w:t xml:space="preserve"> </w:t>
      </w:r>
      <w:r>
        <w:rPr>
          <w:lang w:val="es-PR"/>
        </w:rPr>
        <w:t>“Nueva Norma para las Expropiaciones”, El Nuevo Día página 6, lunes 13 de marzo de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F969" w14:textId="3D04A01E" w:rsidR="002F6F09" w:rsidRPr="009C006E" w:rsidRDefault="002F6F09">
    <w:pPr>
      <w:pStyle w:val="Header"/>
      <w:rPr>
        <w:lang w:val="es-PR"/>
      </w:rPr>
    </w:pPr>
    <w:r w:rsidRPr="009C006E">
      <w:rPr>
        <w:lang w:val="es-PR"/>
      </w:rPr>
      <w:t xml:space="preserve">Lcdo. Domingo </w:t>
    </w:r>
    <w:proofErr w:type="spellStart"/>
    <w:r w:rsidRPr="009C006E">
      <w:rPr>
        <w:lang w:val="es-PR"/>
      </w:rPr>
      <w:t>Emanuelli</w:t>
    </w:r>
    <w:proofErr w:type="spellEnd"/>
  </w:p>
  <w:p w14:paraId="757F804D" w14:textId="7AD8A94C" w:rsidR="002F6F09" w:rsidRPr="002F6F09" w:rsidRDefault="002F6F09">
    <w:pPr>
      <w:pStyle w:val="Header"/>
      <w:rPr>
        <w:lang w:val="es-PR"/>
      </w:rPr>
    </w:pPr>
    <w:r w:rsidRPr="002F6F09">
      <w:rPr>
        <w:lang w:val="es-PR"/>
      </w:rPr>
      <w:t>Secretario de Justicia</w:t>
    </w:r>
  </w:p>
  <w:p w14:paraId="376A0F45" w14:textId="10D54E50" w:rsidR="002F6F09" w:rsidRPr="002F6F09" w:rsidRDefault="002F6F09">
    <w:pPr>
      <w:pStyle w:val="Header"/>
      <w:rPr>
        <w:lang w:val="es-PR"/>
      </w:rPr>
    </w:pPr>
    <w:r w:rsidRPr="002F6F09">
      <w:rPr>
        <w:lang w:val="es-PR"/>
      </w:rPr>
      <w:t>Referido Estorbos P</w:t>
    </w:r>
    <w:r>
      <w:rPr>
        <w:lang w:val="es-PR"/>
      </w:rPr>
      <w:t>úblicos y Expropiaciones</w:t>
    </w:r>
  </w:p>
  <w:p w14:paraId="34B9A1E3" w14:textId="77777777" w:rsidR="002F6F09" w:rsidRPr="002F6F09" w:rsidRDefault="002F6F09">
    <w:pPr>
      <w:pStyle w:val="Header"/>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F02"/>
    <w:multiLevelType w:val="hybridMultilevel"/>
    <w:tmpl w:val="1B9CB98C"/>
    <w:lvl w:ilvl="0" w:tplc="0C3A7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B29E7"/>
    <w:multiLevelType w:val="hybridMultilevel"/>
    <w:tmpl w:val="181A1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016EB"/>
    <w:multiLevelType w:val="hybridMultilevel"/>
    <w:tmpl w:val="401E21F8"/>
    <w:lvl w:ilvl="0" w:tplc="58926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528FB"/>
    <w:multiLevelType w:val="hybridMultilevel"/>
    <w:tmpl w:val="7EB2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77C35"/>
    <w:multiLevelType w:val="hybridMultilevel"/>
    <w:tmpl w:val="84F63DF0"/>
    <w:lvl w:ilvl="0" w:tplc="DA34B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6725F"/>
    <w:multiLevelType w:val="hybridMultilevel"/>
    <w:tmpl w:val="950A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519ED"/>
    <w:multiLevelType w:val="hybridMultilevel"/>
    <w:tmpl w:val="1C0C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C46"/>
    <w:multiLevelType w:val="hybridMultilevel"/>
    <w:tmpl w:val="BC6AB478"/>
    <w:lvl w:ilvl="0" w:tplc="9A4AA1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B4989"/>
    <w:multiLevelType w:val="hybridMultilevel"/>
    <w:tmpl w:val="800CE8D2"/>
    <w:lvl w:ilvl="0" w:tplc="E280E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06523"/>
    <w:multiLevelType w:val="hybridMultilevel"/>
    <w:tmpl w:val="D98A2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44A89"/>
    <w:multiLevelType w:val="hybridMultilevel"/>
    <w:tmpl w:val="4A82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8628A"/>
    <w:multiLevelType w:val="hybridMultilevel"/>
    <w:tmpl w:val="CAA6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17AF4"/>
    <w:multiLevelType w:val="hybridMultilevel"/>
    <w:tmpl w:val="3466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24B66"/>
    <w:multiLevelType w:val="hybridMultilevel"/>
    <w:tmpl w:val="6F78B358"/>
    <w:lvl w:ilvl="0" w:tplc="DDF47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5306"/>
    <w:multiLevelType w:val="hybridMultilevel"/>
    <w:tmpl w:val="52F0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E5EE4"/>
    <w:multiLevelType w:val="hybridMultilevel"/>
    <w:tmpl w:val="7BF85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07325"/>
    <w:multiLevelType w:val="hybridMultilevel"/>
    <w:tmpl w:val="AA26E25E"/>
    <w:lvl w:ilvl="0" w:tplc="D7E61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801BD"/>
    <w:multiLevelType w:val="hybridMultilevel"/>
    <w:tmpl w:val="9CA26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F94A3C"/>
    <w:multiLevelType w:val="hybridMultilevel"/>
    <w:tmpl w:val="07A6EBD0"/>
    <w:lvl w:ilvl="0" w:tplc="DA34B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D1CD1"/>
    <w:multiLevelType w:val="hybridMultilevel"/>
    <w:tmpl w:val="C58078DA"/>
    <w:lvl w:ilvl="0" w:tplc="D5385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BF73E5"/>
    <w:multiLevelType w:val="hybridMultilevel"/>
    <w:tmpl w:val="3FB6ADC6"/>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4"/>
  </w:num>
  <w:num w:numId="2">
    <w:abstractNumId w:val="18"/>
  </w:num>
  <w:num w:numId="3">
    <w:abstractNumId w:val="12"/>
  </w:num>
  <w:num w:numId="4">
    <w:abstractNumId w:val="10"/>
  </w:num>
  <w:num w:numId="5">
    <w:abstractNumId w:val="17"/>
  </w:num>
  <w:num w:numId="6">
    <w:abstractNumId w:val="7"/>
  </w:num>
  <w:num w:numId="7">
    <w:abstractNumId w:val="19"/>
  </w:num>
  <w:num w:numId="8">
    <w:abstractNumId w:val="2"/>
  </w:num>
  <w:num w:numId="9">
    <w:abstractNumId w:val="20"/>
  </w:num>
  <w:num w:numId="10">
    <w:abstractNumId w:val="16"/>
  </w:num>
  <w:num w:numId="11">
    <w:abstractNumId w:val="0"/>
  </w:num>
  <w:num w:numId="12">
    <w:abstractNumId w:val="13"/>
  </w:num>
  <w:num w:numId="13">
    <w:abstractNumId w:val="1"/>
  </w:num>
  <w:num w:numId="14">
    <w:abstractNumId w:val="9"/>
  </w:num>
  <w:num w:numId="15">
    <w:abstractNumId w:val="5"/>
  </w:num>
  <w:num w:numId="16">
    <w:abstractNumId w:val="6"/>
  </w:num>
  <w:num w:numId="17">
    <w:abstractNumId w:val="15"/>
  </w:num>
  <w:num w:numId="18">
    <w:abstractNumId w:val="11"/>
  </w:num>
  <w:num w:numId="19">
    <w:abstractNumId w:val="14"/>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53"/>
    <w:rsid w:val="00000E85"/>
    <w:rsid w:val="000117A5"/>
    <w:rsid w:val="00012DEC"/>
    <w:rsid w:val="00014871"/>
    <w:rsid w:val="00030915"/>
    <w:rsid w:val="0003097E"/>
    <w:rsid w:val="00033B95"/>
    <w:rsid w:val="00035FAA"/>
    <w:rsid w:val="00045114"/>
    <w:rsid w:val="00052385"/>
    <w:rsid w:val="000549A6"/>
    <w:rsid w:val="00060B2D"/>
    <w:rsid w:val="00071740"/>
    <w:rsid w:val="000723BC"/>
    <w:rsid w:val="00081410"/>
    <w:rsid w:val="000836F4"/>
    <w:rsid w:val="0009430C"/>
    <w:rsid w:val="00097139"/>
    <w:rsid w:val="000A3907"/>
    <w:rsid w:val="000A424F"/>
    <w:rsid w:val="000C08FE"/>
    <w:rsid w:val="000C1764"/>
    <w:rsid w:val="000D2594"/>
    <w:rsid w:val="000E325C"/>
    <w:rsid w:val="000F0686"/>
    <w:rsid w:val="000F5D7B"/>
    <w:rsid w:val="001017A0"/>
    <w:rsid w:val="00101F90"/>
    <w:rsid w:val="00103EB6"/>
    <w:rsid w:val="0011010B"/>
    <w:rsid w:val="00111553"/>
    <w:rsid w:val="00123774"/>
    <w:rsid w:val="00134A6F"/>
    <w:rsid w:val="00140388"/>
    <w:rsid w:val="00157A32"/>
    <w:rsid w:val="00172F62"/>
    <w:rsid w:val="00176903"/>
    <w:rsid w:val="00180EA1"/>
    <w:rsid w:val="00184105"/>
    <w:rsid w:val="001A1122"/>
    <w:rsid w:val="001A4940"/>
    <w:rsid w:val="001C7239"/>
    <w:rsid w:val="001F22F2"/>
    <w:rsid w:val="001F3CDB"/>
    <w:rsid w:val="001F4760"/>
    <w:rsid w:val="002038A3"/>
    <w:rsid w:val="00210E52"/>
    <w:rsid w:val="002155D6"/>
    <w:rsid w:val="00233946"/>
    <w:rsid w:val="002371B6"/>
    <w:rsid w:val="00246C88"/>
    <w:rsid w:val="00253155"/>
    <w:rsid w:val="00254C8B"/>
    <w:rsid w:val="00262D55"/>
    <w:rsid w:val="002640FC"/>
    <w:rsid w:val="002654D3"/>
    <w:rsid w:val="00266C36"/>
    <w:rsid w:val="00272A1F"/>
    <w:rsid w:val="00280FCA"/>
    <w:rsid w:val="002A7B46"/>
    <w:rsid w:val="002B7643"/>
    <w:rsid w:val="002C452E"/>
    <w:rsid w:val="002D416C"/>
    <w:rsid w:val="002D79EB"/>
    <w:rsid w:val="002E0F6D"/>
    <w:rsid w:val="002E3D5C"/>
    <w:rsid w:val="002F651C"/>
    <w:rsid w:val="002F6F09"/>
    <w:rsid w:val="002F78EB"/>
    <w:rsid w:val="00307B71"/>
    <w:rsid w:val="003100DA"/>
    <w:rsid w:val="00311DB4"/>
    <w:rsid w:val="003146F7"/>
    <w:rsid w:val="00314B90"/>
    <w:rsid w:val="003158E7"/>
    <w:rsid w:val="003161BF"/>
    <w:rsid w:val="00330B78"/>
    <w:rsid w:val="00332469"/>
    <w:rsid w:val="00341848"/>
    <w:rsid w:val="00343E11"/>
    <w:rsid w:val="0036245A"/>
    <w:rsid w:val="00365BCD"/>
    <w:rsid w:val="00370C11"/>
    <w:rsid w:val="003736C4"/>
    <w:rsid w:val="0037705A"/>
    <w:rsid w:val="00381CD4"/>
    <w:rsid w:val="003874AA"/>
    <w:rsid w:val="00392F05"/>
    <w:rsid w:val="00397B61"/>
    <w:rsid w:val="003A21B8"/>
    <w:rsid w:val="003A3281"/>
    <w:rsid w:val="003A5270"/>
    <w:rsid w:val="003C7170"/>
    <w:rsid w:val="003D1B8E"/>
    <w:rsid w:val="003D4871"/>
    <w:rsid w:val="003D4CD4"/>
    <w:rsid w:val="003E033F"/>
    <w:rsid w:val="003E55D2"/>
    <w:rsid w:val="0040015D"/>
    <w:rsid w:val="0042270F"/>
    <w:rsid w:val="0042528E"/>
    <w:rsid w:val="004434C5"/>
    <w:rsid w:val="00443CD2"/>
    <w:rsid w:val="004450DC"/>
    <w:rsid w:val="004454BE"/>
    <w:rsid w:val="00460F23"/>
    <w:rsid w:val="00462296"/>
    <w:rsid w:val="0047244D"/>
    <w:rsid w:val="00473EEC"/>
    <w:rsid w:val="004825B0"/>
    <w:rsid w:val="00487458"/>
    <w:rsid w:val="0049095C"/>
    <w:rsid w:val="004925D1"/>
    <w:rsid w:val="004955F6"/>
    <w:rsid w:val="004A0E16"/>
    <w:rsid w:val="004A614D"/>
    <w:rsid w:val="004B20B9"/>
    <w:rsid w:val="004C6D45"/>
    <w:rsid w:val="004D6DCD"/>
    <w:rsid w:val="004E1BB1"/>
    <w:rsid w:val="004E3A8D"/>
    <w:rsid w:val="004F034E"/>
    <w:rsid w:val="005005D6"/>
    <w:rsid w:val="00516A3C"/>
    <w:rsid w:val="005229C6"/>
    <w:rsid w:val="00525E52"/>
    <w:rsid w:val="005273F0"/>
    <w:rsid w:val="00551CDF"/>
    <w:rsid w:val="00555EB8"/>
    <w:rsid w:val="00560877"/>
    <w:rsid w:val="00561A5F"/>
    <w:rsid w:val="00577842"/>
    <w:rsid w:val="00580C5C"/>
    <w:rsid w:val="005820D2"/>
    <w:rsid w:val="00590C2A"/>
    <w:rsid w:val="00593E49"/>
    <w:rsid w:val="00596947"/>
    <w:rsid w:val="005A04F8"/>
    <w:rsid w:val="005A0724"/>
    <w:rsid w:val="005A3D53"/>
    <w:rsid w:val="005A47DA"/>
    <w:rsid w:val="005C226A"/>
    <w:rsid w:val="005C281F"/>
    <w:rsid w:val="005C6845"/>
    <w:rsid w:val="005D3070"/>
    <w:rsid w:val="005D5843"/>
    <w:rsid w:val="005E34DA"/>
    <w:rsid w:val="005E66E5"/>
    <w:rsid w:val="005F1CDC"/>
    <w:rsid w:val="005F243B"/>
    <w:rsid w:val="005F4158"/>
    <w:rsid w:val="006014D6"/>
    <w:rsid w:val="0061117B"/>
    <w:rsid w:val="0063131A"/>
    <w:rsid w:val="00642965"/>
    <w:rsid w:val="00656C6F"/>
    <w:rsid w:val="00657FF8"/>
    <w:rsid w:val="006665A4"/>
    <w:rsid w:val="00673974"/>
    <w:rsid w:val="0067643D"/>
    <w:rsid w:val="00680E6A"/>
    <w:rsid w:val="006833AB"/>
    <w:rsid w:val="0069509A"/>
    <w:rsid w:val="006A253D"/>
    <w:rsid w:val="006A4148"/>
    <w:rsid w:val="006A5FA4"/>
    <w:rsid w:val="006B2018"/>
    <w:rsid w:val="006D4418"/>
    <w:rsid w:val="006D4460"/>
    <w:rsid w:val="006E0A1C"/>
    <w:rsid w:val="007057D5"/>
    <w:rsid w:val="00711EBD"/>
    <w:rsid w:val="007270BE"/>
    <w:rsid w:val="00731F07"/>
    <w:rsid w:val="00733B88"/>
    <w:rsid w:val="0073460B"/>
    <w:rsid w:val="00744D05"/>
    <w:rsid w:val="0075053D"/>
    <w:rsid w:val="00750BEA"/>
    <w:rsid w:val="00771AB1"/>
    <w:rsid w:val="00776F00"/>
    <w:rsid w:val="00780208"/>
    <w:rsid w:val="007966EE"/>
    <w:rsid w:val="007B054A"/>
    <w:rsid w:val="007D54A6"/>
    <w:rsid w:val="007E7AC2"/>
    <w:rsid w:val="007F154F"/>
    <w:rsid w:val="00810EF6"/>
    <w:rsid w:val="00812A54"/>
    <w:rsid w:val="00812EF1"/>
    <w:rsid w:val="0082702B"/>
    <w:rsid w:val="008331B8"/>
    <w:rsid w:val="008346CB"/>
    <w:rsid w:val="00835C64"/>
    <w:rsid w:val="00845BFF"/>
    <w:rsid w:val="00863CC3"/>
    <w:rsid w:val="00870075"/>
    <w:rsid w:val="00876EDC"/>
    <w:rsid w:val="0088146C"/>
    <w:rsid w:val="00892B93"/>
    <w:rsid w:val="0089755B"/>
    <w:rsid w:val="008A212D"/>
    <w:rsid w:val="008A6EE7"/>
    <w:rsid w:val="008C64D4"/>
    <w:rsid w:val="008D081E"/>
    <w:rsid w:val="008D499E"/>
    <w:rsid w:val="008D5F23"/>
    <w:rsid w:val="008E18B7"/>
    <w:rsid w:val="008E565E"/>
    <w:rsid w:val="008F3C0E"/>
    <w:rsid w:val="00901C4C"/>
    <w:rsid w:val="00917753"/>
    <w:rsid w:val="0092032B"/>
    <w:rsid w:val="009225B2"/>
    <w:rsid w:val="00930CB3"/>
    <w:rsid w:val="009313A3"/>
    <w:rsid w:val="00941BA5"/>
    <w:rsid w:val="00947C86"/>
    <w:rsid w:val="009501AB"/>
    <w:rsid w:val="00953109"/>
    <w:rsid w:val="009553A4"/>
    <w:rsid w:val="0096062D"/>
    <w:rsid w:val="009606EF"/>
    <w:rsid w:val="00962F5E"/>
    <w:rsid w:val="00962F78"/>
    <w:rsid w:val="00963549"/>
    <w:rsid w:val="00970ABC"/>
    <w:rsid w:val="009739B0"/>
    <w:rsid w:val="009849FB"/>
    <w:rsid w:val="00984FE5"/>
    <w:rsid w:val="00985AB9"/>
    <w:rsid w:val="00993749"/>
    <w:rsid w:val="00994317"/>
    <w:rsid w:val="00995FC9"/>
    <w:rsid w:val="009B03A6"/>
    <w:rsid w:val="009B5DC2"/>
    <w:rsid w:val="009B6E77"/>
    <w:rsid w:val="009C006E"/>
    <w:rsid w:val="009C2788"/>
    <w:rsid w:val="009C4CA1"/>
    <w:rsid w:val="009C5F94"/>
    <w:rsid w:val="009D2A44"/>
    <w:rsid w:val="009D38A8"/>
    <w:rsid w:val="009D4444"/>
    <w:rsid w:val="009D6194"/>
    <w:rsid w:val="009D7E95"/>
    <w:rsid w:val="009E5252"/>
    <w:rsid w:val="009E657C"/>
    <w:rsid w:val="009F4250"/>
    <w:rsid w:val="00A01DCE"/>
    <w:rsid w:val="00A027F1"/>
    <w:rsid w:val="00A03886"/>
    <w:rsid w:val="00A04802"/>
    <w:rsid w:val="00A12592"/>
    <w:rsid w:val="00A16ADD"/>
    <w:rsid w:val="00A41CA6"/>
    <w:rsid w:val="00A57795"/>
    <w:rsid w:val="00A60E79"/>
    <w:rsid w:val="00A61335"/>
    <w:rsid w:val="00A634FD"/>
    <w:rsid w:val="00A641C3"/>
    <w:rsid w:val="00A7403C"/>
    <w:rsid w:val="00A7423A"/>
    <w:rsid w:val="00A74F85"/>
    <w:rsid w:val="00A76049"/>
    <w:rsid w:val="00A7757B"/>
    <w:rsid w:val="00A856A5"/>
    <w:rsid w:val="00AA26EE"/>
    <w:rsid w:val="00AA69F3"/>
    <w:rsid w:val="00AB3EEE"/>
    <w:rsid w:val="00AB4239"/>
    <w:rsid w:val="00AC3436"/>
    <w:rsid w:val="00AC4D04"/>
    <w:rsid w:val="00AE2F8E"/>
    <w:rsid w:val="00AE61C2"/>
    <w:rsid w:val="00AF20B0"/>
    <w:rsid w:val="00AF5586"/>
    <w:rsid w:val="00B03C2B"/>
    <w:rsid w:val="00B123B8"/>
    <w:rsid w:val="00B1700D"/>
    <w:rsid w:val="00B17E60"/>
    <w:rsid w:val="00B21AA8"/>
    <w:rsid w:val="00B277EE"/>
    <w:rsid w:val="00B33990"/>
    <w:rsid w:val="00B36420"/>
    <w:rsid w:val="00B42D87"/>
    <w:rsid w:val="00B449FB"/>
    <w:rsid w:val="00B4594B"/>
    <w:rsid w:val="00B4795B"/>
    <w:rsid w:val="00B606DD"/>
    <w:rsid w:val="00B63593"/>
    <w:rsid w:val="00B65A52"/>
    <w:rsid w:val="00B766B8"/>
    <w:rsid w:val="00B7731E"/>
    <w:rsid w:val="00B81A23"/>
    <w:rsid w:val="00B85D25"/>
    <w:rsid w:val="00B97090"/>
    <w:rsid w:val="00B97F89"/>
    <w:rsid w:val="00BA0688"/>
    <w:rsid w:val="00BA758A"/>
    <w:rsid w:val="00BB1C60"/>
    <w:rsid w:val="00BB7299"/>
    <w:rsid w:val="00BC1AE7"/>
    <w:rsid w:val="00BC3053"/>
    <w:rsid w:val="00BD71F6"/>
    <w:rsid w:val="00BE6320"/>
    <w:rsid w:val="00C1481F"/>
    <w:rsid w:val="00C15F4C"/>
    <w:rsid w:val="00C2023A"/>
    <w:rsid w:val="00C41217"/>
    <w:rsid w:val="00C54184"/>
    <w:rsid w:val="00C56B27"/>
    <w:rsid w:val="00C73CC0"/>
    <w:rsid w:val="00C75983"/>
    <w:rsid w:val="00C91DF5"/>
    <w:rsid w:val="00C938E8"/>
    <w:rsid w:val="00C95F5D"/>
    <w:rsid w:val="00CA06A1"/>
    <w:rsid w:val="00CB5D59"/>
    <w:rsid w:val="00CD2426"/>
    <w:rsid w:val="00CE5F1B"/>
    <w:rsid w:val="00CE6E28"/>
    <w:rsid w:val="00CF5F7C"/>
    <w:rsid w:val="00D129FD"/>
    <w:rsid w:val="00D13130"/>
    <w:rsid w:val="00D1556B"/>
    <w:rsid w:val="00D31207"/>
    <w:rsid w:val="00D34BEA"/>
    <w:rsid w:val="00D529CD"/>
    <w:rsid w:val="00D52C43"/>
    <w:rsid w:val="00D55D0B"/>
    <w:rsid w:val="00D60B44"/>
    <w:rsid w:val="00D60BD0"/>
    <w:rsid w:val="00D63065"/>
    <w:rsid w:val="00D63AAB"/>
    <w:rsid w:val="00D70EAE"/>
    <w:rsid w:val="00D849DA"/>
    <w:rsid w:val="00DA6C4C"/>
    <w:rsid w:val="00DB25C2"/>
    <w:rsid w:val="00DC69F6"/>
    <w:rsid w:val="00DD238D"/>
    <w:rsid w:val="00DD3988"/>
    <w:rsid w:val="00DE1C44"/>
    <w:rsid w:val="00DE301A"/>
    <w:rsid w:val="00DF5655"/>
    <w:rsid w:val="00E04694"/>
    <w:rsid w:val="00E07277"/>
    <w:rsid w:val="00E16D5A"/>
    <w:rsid w:val="00E2121B"/>
    <w:rsid w:val="00E27FDA"/>
    <w:rsid w:val="00E30B30"/>
    <w:rsid w:val="00E37784"/>
    <w:rsid w:val="00E40938"/>
    <w:rsid w:val="00E41B8C"/>
    <w:rsid w:val="00E443BE"/>
    <w:rsid w:val="00E5055C"/>
    <w:rsid w:val="00E54757"/>
    <w:rsid w:val="00E56526"/>
    <w:rsid w:val="00E63B28"/>
    <w:rsid w:val="00E73A93"/>
    <w:rsid w:val="00E77BED"/>
    <w:rsid w:val="00E804A9"/>
    <w:rsid w:val="00E82384"/>
    <w:rsid w:val="00E833C1"/>
    <w:rsid w:val="00E85DFA"/>
    <w:rsid w:val="00E96BD4"/>
    <w:rsid w:val="00EA73DE"/>
    <w:rsid w:val="00EB6E90"/>
    <w:rsid w:val="00ED13BC"/>
    <w:rsid w:val="00EE3A41"/>
    <w:rsid w:val="00EE5214"/>
    <w:rsid w:val="00EF1B3A"/>
    <w:rsid w:val="00EF4B96"/>
    <w:rsid w:val="00F07556"/>
    <w:rsid w:val="00F076EB"/>
    <w:rsid w:val="00F32884"/>
    <w:rsid w:val="00F467FE"/>
    <w:rsid w:val="00F61A8E"/>
    <w:rsid w:val="00F64149"/>
    <w:rsid w:val="00F67186"/>
    <w:rsid w:val="00F73159"/>
    <w:rsid w:val="00F83994"/>
    <w:rsid w:val="00F8572E"/>
    <w:rsid w:val="00F91FFE"/>
    <w:rsid w:val="00F94325"/>
    <w:rsid w:val="00FB7F16"/>
    <w:rsid w:val="00FC51C2"/>
    <w:rsid w:val="00FC77EC"/>
    <w:rsid w:val="00FD0F53"/>
    <w:rsid w:val="00FE1503"/>
    <w:rsid w:val="00FE3F63"/>
    <w:rsid w:val="00FF0142"/>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98FA"/>
  <w15:chartTrackingRefBased/>
  <w15:docId w15:val="{0CC62113-FE9B-48CC-8B61-E2E970B4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5F6"/>
    <w:rPr>
      <w:color w:val="0563C1" w:themeColor="hyperlink"/>
      <w:u w:val="single"/>
    </w:rPr>
  </w:style>
  <w:style w:type="character" w:customStyle="1" w:styleId="UnresolvedMention1">
    <w:name w:val="Unresolved Mention1"/>
    <w:basedOn w:val="DefaultParagraphFont"/>
    <w:uiPriority w:val="99"/>
    <w:semiHidden/>
    <w:unhideWhenUsed/>
    <w:rsid w:val="004955F6"/>
    <w:rPr>
      <w:color w:val="605E5C"/>
      <w:shd w:val="clear" w:color="auto" w:fill="E1DFDD"/>
    </w:rPr>
  </w:style>
  <w:style w:type="paragraph" w:styleId="FootnoteText">
    <w:name w:val="footnote text"/>
    <w:basedOn w:val="Normal"/>
    <w:link w:val="FootnoteTextChar"/>
    <w:uiPriority w:val="99"/>
    <w:semiHidden/>
    <w:unhideWhenUsed/>
    <w:rsid w:val="00495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5F6"/>
    <w:rPr>
      <w:sz w:val="20"/>
      <w:szCs w:val="20"/>
    </w:rPr>
  </w:style>
  <w:style w:type="character" w:styleId="FootnoteReference">
    <w:name w:val="footnote reference"/>
    <w:basedOn w:val="DefaultParagraphFont"/>
    <w:uiPriority w:val="99"/>
    <w:semiHidden/>
    <w:unhideWhenUsed/>
    <w:rsid w:val="004955F6"/>
    <w:rPr>
      <w:vertAlign w:val="superscript"/>
    </w:rPr>
  </w:style>
  <w:style w:type="paragraph" w:styleId="ListParagraph">
    <w:name w:val="List Paragraph"/>
    <w:basedOn w:val="Normal"/>
    <w:uiPriority w:val="34"/>
    <w:qFormat/>
    <w:rsid w:val="0088146C"/>
    <w:pPr>
      <w:ind w:left="720"/>
      <w:contextualSpacing/>
    </w:pPr>
    <w:rPr>
      <w:kern w:val="0"/>
      <w14:ligatures w14:val="none"/>
    </w:rPr>
  </w:style>
  <w:style w:type="table" w:styleId="TableGrid">
    <w:name w:val="Table Grid"/>
    <w:basedOn w:val="TableNormal"/>
    <w:uiPriority w:val="39"/>
    <w:rsid w:val="008814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117B"/>
    <w:rPr>
      <w:sz w:val="16"/>
      <w:szCs w:val="16"/>
    </w:rPr>
  </w:style>
  <w:style w:type="paragraph" w:styleId="CommentText">
    <w:name w:val="annotation text"/>
    <w:basedOn w:val="Normal"/>
    <w:link w:val="CommentTextChar"/>
    <w:uiPriority w:val="99"/>
    <w:semiHidden/>
    <w:unhideWhenUsed/>
    <w:rsid w:val="00A61335"/>
    <w:pPr>
      <w:spacing w:line="240" w:lineRule="auto"/>
    </w:pPr>
    <w:rPr>
      <w:sz w:val="20"/>
      <w:szCs w:val="20"/>
    </w:rPr>
  </w:style>
  <w:style w:type="character" w:customStyle="1" w:styleId="CommentTextChar">
    <w:name w:val="Comment Text Char"/>
    <w:basedOn w:val="DefaultParagraphFont"/>
    <w:link w:val="CommentText"/>
    <w:uiPriority w:val="99"/>
    <w:semiHidden/>
    <w:rsid w:val="00A61335"/>
    <w:rPr>
      <w:sz w:val="20"/>
      <w:szCs w:val="20"/>
    </w:rPr>
  </w:style>
  <w:style w:type="paragraph" w:styleId="CommentSubject">
    <w:name w:val="annotation subject"/>
    <w:basedOn w:val="CommentText"/>
    <w:next w:val="CommentText"/>
    <w:link w:val="CommentSubjectChar"/>
    <w:uiPriority w:val="99"/>
    <w:semiHidden/>
    <w:unhideWhenUsed/>
    <w:rsid w:val="00A61335"/>
    <w:rPr>
      <w:b/>
      <w:bCs/>
    </w:rPr>
  </w:style>
  <w:style w:type="character" w:customStyle="1" w:styleId="CommentSubjectChar">
    <w:name w:val="Comment Subject Char"/>
    <w:basedOn w:val="CommentTextChar"/>
    <w:link w:val="CommentSubject"/>
    <w:uiPriority w:val="99"/>
    <w:semiHidden/>
    <w:rsid w:val="00A61335"/>
    <w:rPr>
      <w:b/>
      <w:bCs/>
      <w:sz w:val="20"/>
      <w:szCs w:val="20"/>
    </w:rPr>
  </w:style>
  <w:style w:type="paragraph" w:styleId="BalloonText">
    <w:name w:val="Balloon Text"/>
    <w:basedOn w:val="Normal"/>
    <w:link w:val="BalloonTextChar"/>
    <w:uiPriority w:val="99"/>
    <w:semiHidden/>
    <w:unhideWhenUsed/>
    <w:rsid w:val="00A61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35"/>
    <w:rPr>
      <w:rFonts w:ascii="Segoe UI" w:hAnsi="Segoe UI" w:cs="Segoe UI"/>
      <w:sz w:val="18"/>
      <w:szCs w:val="18"/>
    </w:rPr>
  </w:style>
  <w:style w:type="character" w:styleId="Emphasis">
    <w:name w:val="Emphasis"/>
    <w:basedOn w:val="DefaultParagraphFont"/>
    <w:uiPriority w:val="20"/>
    <w:qFormat/>
    <w:rsid w:val="00E82384"/>
    <w:rPr>
      <w:i/>
      <w:iCs/>
    </w:rPr>
  </w:style>
  <w:style w:type="paragraph" w:styleId="Header">
    <w:name w:val="header"/>
    <w:basedOn w:val="Normal"/>
    <w:link w:val="HeaderChar"/>
    <w:uiPriority w:val="99"/>
    <w:unhideWhenUsed/>
    <w:rsid w:val="002F6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09"/>
  </w:style>
  <w:style w:type="paragraph" w:styleId="Footer">
    <w:name w:val="footer"/>
    <w:basedOn w:val="Normal"/>
    <w:link w:val="FooterChar"/>
    <w:uiPriority w:val="99"/>
    <w:unhideWhenUsed/>
    <w:rsid w:val="002F6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2954-880C-47E3-B848-E1933DF0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6339</Words>
  <Characters>36137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 Martinez Torres (Sen. Santiago Negron)</dc:creator>
  <cp:keywords/>
  <dc:description/>
  <cp:lastModifiedBy>Microsoft account</cp:lastModifiedBy>
  <cp:revision>10</cp:revision>
  <cp:lastPrinted>2023-03-13T20:21:00Z</cp:lastPrinted>
  <dcterms:created xsi:type="dcterms:W3CDTF">2023-03-30T01:20:00Z</dcterms:created>
  <dcterms:modified xsi:type="dcterms:W3CDTF">2023-03-30T14:06:00Z</dcterms:modified>
</cp:coreProperties>
</file>